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D8" w:rsidRPr="006378D8" w:rsidRDefault="006378D8" w:rsidP="006378D8">
      <w:pPr>
        <w:spacing w:before="100" w:beforeAutospacing="1" w:after="100" w:afterAutospacing="1"/>
        <w:jc w:val="both"/>
        <w:rPr>
          <w:rFonts w:ascii="Times New Roman" w:hAnsi="Times New Roman" w:cs="Times New Roman"/>
          <w:color w:val="333333"/>
          <w:sz w:val="28"/>
          <w:szCs w:val="28"/>
        </w:rPr>
      </w:pPr>
      <w:r w:rsidRPr="006378D8">
        <w:rPr>
          <w:rFonts w:ascii="Times New Roman" w:hAnsi="Times New Roman" w:cs="Times New Roman"/>
          <w:color w:val="000000"/>
          <w:sz w:val="28"/>
          <w:szCs w:val="28"/>
          <w:shd w:val="clear" w:color="auto" w:fill="FFFFFF"/>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tbl>
      <w:tblPr>
        <w:tblW w:w="16317" w:type="dxa"/>
        <w:shd w:val="clear" w:color="auto" w:fill="FEFFFF"/>
        <w:tblCellMar>
          <w:left w:w="0" w:type="dxa"/>
          <w:right w:w="0" w:type="dxa"/>
        </w:tblCellMar>
        <w:tblLook w:val="04A0" w:firstRow="1" w:lastRow="0" w:firstColumn="1" w:lastColumn="0" w:noHBand="0" w:noVBand="1"/>
      </w:tblPr>
      <w:tblGrid>
        <w:gridCol w:w="848"/>
        <w:gridCol w:w="1291"/>
        <w:gridCol w:w="935"/>
        <w:gridCol w:w="4029"/>
        <w:gridCol w:w="5873"/>
        <w:gridCol w:w="3341"/>
      </w:tblGrid>
      <w:tr w:rsidR="006378D8" w:rsidRPr="006378D8" w:rsidTr="006378D8">
        <w:trPr>
          <w:trHeight w:val="300"/>
        </w:trPr>
        <w:tc>
          <w:tcPr>
            <w:tcW w:w="3074" w:type="dxa"/>
            <w:gridSpan w:val="3"/>
            <w:tcBorders>
              <w:top w:val="single" w:sz="8" w:space="0" w:color="auto"/>
              <w:left w:val="single" w:sz="8" w:space="0" w:color="auto"/>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rPr>
              <w:t>Постановление № 24</w:t>
            </w:r>
          </w:p>
        </w:tc>
        <w:tc>
          <w:tcPr>
            <w:tcW w:w="4029"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shd w:val="clear" w:color="auto" w:fill="CCFFCC"/>
              </w:rPr>
              <w:t>Периодичность и срок раскрытия информации</w:t>
            </w:r>
          </w:p>
        </w:tc>
        <w:tc>
          <w:tcPr>
            <w:tcW w:w="5873"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shd w:val="clear" w:color="auto" w:fill="CCFFCC"/>
              </w:rPr>
              <w:t>Содержание</w:t>
            </w:r>
          </w:p>
        </w:tc>
        <w:tc>
          <w:tcPr>
            <w:tcW w:w="3341" w:type="dxa"/>
            <w:vMerge w:val="restart"/>
            <w:tcBorders>
              <w:top w:val="single" w:sz="8" w:space="0" w:color="auto"/>
              <w:left w:val="nil"/>
              <w:bottom w:val="double" w:sz="6" w:space="0" w:color="000000"/>
              <w:right w:val="single" w:sz="8" w:space="0" w:color="auto"/>
            </w:tcBorders>
            <w:shd w:val="clear" w:color="auto" w:fill="FFFF99"/>
            <w:tcMar>
              <w:top w:w="15" w:type="dxa"/>
              <w:left w:w="15" w:type="dxa"/>
              <w:bottom w:w="0" w:type="dxa"/>
              <w:right w:w="15" w:type="dxa"/>
            </w:tcMar>
            <w:vAlign w:val="center"/>
            <w:hideMark/>
          </w:tcPr>
          <w:p w:rsidR="006378D8" w:rsidRPr="00713E1E" w:rsidRDefault="006378D8" w:rsidP="00713E1E">
            <w:pPr>
              <w:jc w:val="center"/>
              <w:rPr>
                <w:rFonts w:ascii="Times New Roman" w:hAnsi="Times New Roman" w:cs="Times New Roman"/>
                <w:b/>
                <w:sz w:val="28"/>
                <w:szCs w:val="28"/>
              </w:rPr>
            </w:pPr>
            <w:bookmarkStart w:id="0" w:name="_GoBack"/>
            <w:r w:rsidRPr="00713E1E">
              <w:rPr>
                <w:rFonts w:ascii="Times New Roman" w:hAnsi="Times New Roman" w:cs="Times New Roman"/>
                <w:b/>
                <w:sz w:val="28"/>
                <w:szCs w:val="28"/>
              </w:rPr>
              <w:t>Ссылка для скачивания документа</w:t>
            </w:r>
            <w:bookmarkEnd w:id="0"/>
          </w:p>
        </w:tc>
      </w:tr>
      <w:tr w:rsidR="006378D8" w:rsidRPr="006378D8" w:rsidTr="006378D8">
        <w:trPr>
          <w:trHeight w:val="945"/>
        </w:trPr>
        <w:tc>
          <w:tcPr>
            <w:tcW w:w="848" w:type="dxa"/>
            <w:tcBorders>
              <w:top w:val="nil"/>
              <w:left w:val="single" w:sz="8" w:space="0" w:color="auto"/>
              <w:bottom w:val="double" w:sz="6"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rPr>
              <w:t>Пункт</w:t>
            </w:r>
          </w:p>
        </w:tc>
        <w:tc>
          <w:tcPr>
            <w:tcW w:w="1291" w:type="dxa"/>
            <w:tcBorders>
              <w:top w:val="nil"/>
              <w:left w:val="nil"/>
              <w:bottom w:val="double" w:sz="6" w:space="0" w:color="auto"/>
              <w:right w:val="nil"/>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rPr>
              <w:t>Подпункт</w:t>
            </w:r>
          </w:p>
        </w:tc>
        <w:tc>
          <w:tcPr>
            <w:tcW w:w="935" w:type="dxa"/>
            <w:tcBorders>
              <w:top w:val="nil"/>
              <w:left w:val="single" w:sz="8" w:space="0" w:color="auto"/>
              <w:bottom w:val="double" w:sz="6"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00"/>
                <w:sz w:val="28"/>
                <w:szCs w:val="28"/>
              </w:rPr>
              <w:t>Абзац</w:t>
            </w:r>
          </w:p>
        </w:tc>
        <w:tc>
          <w:tcPr>
            <w:tcW w:w="4029" w:type="dxa"/>
            <w:vMerge/>
            <w:tcBorders>
              <w:top w:val="single" w:sz="8" w:space="0" w:color="auto"/>
              <w:left w:val="nil"/>
              <w:bottom w:val="double" w:sz="6" w:space="0" w:color="000000"/>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vMerge/>
            <w:tcBorders>
              <w:top w:val="single" w:sz="8" w:space="0" w:color="auto"/>
              <w:left w:val="nil"/>
              <w:bottom w:val="double" w:sz="6" w:space="0" w:color="000000"/>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3341" w:type="dxa"/>
            <w:vMerge/>
            <w:tcBorders>
              <w:top w:val="single" w:sz="8" w:space="0" w:color="auto"/>
              <w:left w:val="nil"/>
              <w:bottom w:val="double" w:sz="6" w:space="0" w:color="000000"/>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r>
      <w:tr w:rsidR="006378D8" w:rsidRPr="006378D8" w:rsidTr="006378D8">
        <w:tc>
          <w:tcPr>
            <w:tcW w:w="848" w:type="dxa"/>
            <w:vMerge w:val="restart"/>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vMerge w:val="restart"/>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а</w:t>
            </w:r>
          </w:p>
        </w:tc>
        <w:tc>
          <w:tcPr>
            <w:tcW w:w="935" w:type="dxa"/>
            <w:vMerge w:val="restart"/>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val="restart"/>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ежегодно,</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до 1 марта</w:t>
            </w:r>
          </w:p>
        </w:tc>
        <w:tc>
          <w:tcPr>
            <w:tcW w:w="5873" w:type="dxa"/>
            <w:vMerge w:val="restart"/>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 w:history="1">
              <w:r w:rsidRPr="006378D8">
                <w:rPr>
                  <w:rStyle w:val="a3"/>
                  <w:rFonts w:ascii="Times New Roman" w:hAnsi="Times New Roman" w:cs="Times New Roman"/>
                  <w:color w:val="090084"/>
                  <w:sz w:val="28"/>
                  <w:szCs w:val="28"/>
                  <w:u w:val="none"/>
                </w:rPr>
                <w:t>Ссылка на тариф по передаче</w:t>
              </w:r>
            </w:hyperlink>
          </w:p>
        </w:tc>
      </w:tr>
      <w:tr w:rsidR="006378D8" w:rsidRPr="006378D8" w:rsidTr="006378D8">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4029" w:type="dxa"/>
            <w:vMerge/>
            <w:tcBorders>
              <w:top w:val="nil"/>
              <w:left w:val="nil"/>
              <w:bottom w:val="nil"/>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vMerge/>
            <w:tcBorders>
              <w:top w:val="nil"/>
              <w:left w:val="nil"/>
              <w:bottom w:val="nil"/>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6" w:history="1">
              <w:r w:rsidRPr="006378D8">
                <w:rPr>
                  <w:rStyle w:val="a3"/>
                  <w:rFonts w:ascii="Times New Roman" w:hAnsi="Times New Roman" w:cs="Times New Roman"/>
                  <w:color w:val="090084"/>
                  <w:sz w:val="28"/>
                  <w:szCs w:val="28"/>
                  <w:u w:val="none"/>
                </w:rPr>
                <w:t>Ссылка на тариф по присоединению</w:t>
              </w:r>
            </w:hyperlink>
          </w:p>
        </w:tc>
      </w:tr>
      <w:tr w:rsidR="006378D8" w:rsidRPr="006378D8" w:rsidTr="006378D8">
        <w:trPr>
          <w:trHeight w:val="151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37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2</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11б.2) о балансе электрической энергии и </w:t>
            </w:r>
            <w:r w:rsidRPr="006378D8">
              <w:rPr>
                <w:rFonts w:ascii="Times New Roman" w:hAnsi="Times New Roman" w:cs="Times New Roman"/>
                <w:color w:val="333333"/>
                <w:sz w:val="28"/>
                <w:szCs w:val="28"/>
              </w:rPr>
              <w:lastRenderedPageBreak/>
              <w:t>мощности;</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8"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47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3</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11б.3) 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9"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11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4</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11б.4)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0"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81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5</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11б.5)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1"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55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6</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11б.6) о затратах на оплату потерь, в том числе:</w:t>
            </w:r>
          </w:p>
        </w:tc>
        <w:tc>
          <w:tcPr>
            <w:tcW w:w="3341"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2"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55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7</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11б.7) о затратах сетевой организации на покупку потерь в собственных сетях;</w:t>
            </w:r>
          </w:p>
        </w:tc>
        <w:tc>
          <w:tcPr>
            <w:tcW w:w="3341" w:type="dxa"/>
            <w:tcBorders>
              <w:top w:val="single" w:sz="8" w:space="0" w:color="auto"/>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3"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96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8</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11б.8) 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4"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96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9</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11б.9) о перечне мероприятий по снижению размеров потерь в сетях, а также о сроках их исполнения и источниках финансирования;</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5"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85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10</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11б.10) о закупке сетевыми организациями электрической энергии для компенсации потерь в сетях и ее стоимости;</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6"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87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11б.11) о размере фактических потерь, оплачиваемых покупателями при осуществлении расчетов за электрическую энергию по уровням напряжения;</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57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12</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11б.12)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8"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51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13</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11б.13) о техническом состоянии сетей, в том числе:</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19"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2355"/>
        </w:trPr>
        <w:tc>
          <w:tcPr>
            <w:tcW w:w="848" w:type="dxa"/>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nil"/>
              <w:right w:val="nil"/>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single" w:sz="8" w:space="0" w:color="auto"/>
              <w:bottom w:val="nil"/>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14</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11б.14)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0"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2220"/>
        </w:trPr>
        <w:tc>
          <w:tcPr>
            <w:tcW w:w="848" w:type="dxa"/>
            <w:tcBorders>
              <w:top w:val="single" w:sz="8" w:space="0" w:color="auto"/>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single" w:sz="8" w:space="0" w:color="auto"/>
              <w:left w:val="nil"/>
              <w:bottom w:val="nil"/>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д</w:t>
            </w:r>
          </w:p>
        </w:tc>
        <w:tc>
          <w:tcPr>
            <w:tcW w:w="935" w:type="dxa"/>
            <w:tcBorders>
              <w:top w:val="single" w:sz="8" w:space="0" w:color="auto"/>
              <w:left w:val="nil"/>
              <w:bottom w:val="nil"/>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В отношении подстанций и распределительных пунктов напряжением 35 кВ и выше: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В отношении подстанций и распределительных пунктов напряжением 35 кВ и выше: 11д)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Оборудование данного уровня отсутствует</w:t>
            </w:r>
          </w:p>
        </w:tc>
      </w:tr>
      <w:tr w:rsidR="006378D8" w:rsidRPr="006378D8" w:rsidTr="006378D8">
        <w:tc>
          <w:tcPr>
            <w:tcW w:w="848" w:type="dxa"/>
            <w:vMerge w:val="restart"/>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vMerge w:val="restart"/>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з</w:t>
            </w:r>
          </w:p>
        </w:tc>
        <w:tc>
          <w:tcPr>
            <w:tcW w:w="935" w:type="dxa"/>
            <w:vMerge w:val="restart"/>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vMerge w:val="restart"/>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11з. о способах приобретения, стоимости и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аукционов); - о проведении закупок товаров, необходимых для производства регулируемых услуг ( включая использование конкурсов, аукционов ), с указанием наименований товаров и предполагаемых </w:t>
            </w:r>
            <w:r w:rsidRPr="006378D8">
              <w:rPr>
                <w:rFonts w:ascii="Times New Roman" w:hAnsi="Times New Roman" w:cs="Times New Roman"/>
                <w:color w:val="333333"/>
                <w:sz w:val="28"/>
                <w:szCs w:val="28"/>
              </w:rPr>
              <w:lastRenderedPageBreak/>
              <w:t>объемов закупок;</w:t>
            </w:r>
          </w:p>
        </w:tc>
        <w:tc>
          <w:tcPr>
            <w:tcW w:w="3341" w:type="dxa"/>
            <w:vMerge w:val="restart"/>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1" w:history="1">
              <w:r w:rsidRPr="006378D8">
                <w:rPr>
                  <w:rStyle w:val="a3"/>
                  <w:rFonts w:ascii="Times New Roman" w:hAnsi="Times New Roman" w:cs="Times New Roman"/>
                  <w:color w:val="090084"/>
                  <w:sz w:val="28"/>
                  <w:szCs w:val="28"/>
                  <w:u w:val="none"/>
                </w:rPr>
                <w:t>Ссылка</w:t>
              </w:r>
            </w:hyperlink>
          </w:p>
        </w:tc>
      </w:tr>
      <w:tr w:rsidR="006378D8" w:rsidRPr="006378D8" w:rsidTr="006378D8">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5873" w:type="dxa"/>
            <w:vMerge/>
            <w:tcBorders>
              <w:top w:val="nil"/>
              <w:left w:val="nil"/>
              <w:bottom w:val="nil"/>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3341"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r>
      <w:tr w:rsidR="006378D8" w:rsidRPr="006378D8" w:rsidTr="006378D8">
        <w:trPr>
          <w:trHeight w:val="2918"/>
        </w:trPr>
        <w:tc>
          <w:tcPr>
            <w:tcW w:w="848" w:type="dxa"/>
            <w:vMerge w:val="restart"/>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vMerge w:val="restart"/>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ж</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w:t>
            </w:r>
          </w:p>
        </w:tc>
        <w:tc>
          <w:tcPr>
            <w:tcW w:w="4029"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ежегодно, до 1 марта</w:t>
            </w:r>
          </w:p>
        </w:tc>
        <w:tc>
          <w:tcPr>
            <w:tcW w:w="587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 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3341"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2" w:history="1">
              <w:r w:rsidRPr="006378D8">
                <w:rPr>
                  <w:rStyle w:val="a3"/>
                  <w:rFonts w:ascii="Times New Roman" w:hAnsi="Times New Roman" w:cs="Times New Roman"/>
                  <w:color w:val="090084"/>
                  <w:sz w:val="28"/>
                  <w:szCs w:val="28"/>
                  <w:u w:val="none"/>
                </w:rPr>
                <w:t>Ссылка</w:t>
              </w:r>
            </w:hyperlink>
          </w:p>
        </w:tc>
      </w:tr>
      <w:tr w:rsidR="006378D8" w:rsidRPr="006378D8" w:rsidTr="006378D8">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2</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w:t>
            </w:r>
            <w:r w:rsidRPr="006378D8">
              <w:rPr>
                <w:rFonts w:ascii="Times New Roman" w:hAnsi="Times New Roman" w:cs="Times New Roman"/>
                <w:color w:val="333333"/>
                <w:sz w:val="28"/>
                <w:szCs w:val="28"/>
              </w:rPr>
              <w:lastRenderedPageBreak/>
              <w:t xml:space="preserve">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w:t>
            </w:r>
            <w:r w:rsidRPr="006378D8">
              <w:rPr>
                <w:rFonts w:ascii="Times New Roman" w:hAnsi="Times New Roman" w:cs="Times New Roman"/>
                <w:color w:val="333333"/>
                <w:sz w:val="28"/>
                <w:szCs w:val="28"/>
              </w:rPr>
              <w:lastRenderedPageBreak/>
              <w:t xml:space="preserve">энергии однократно в соответствии с методическими указаниями,по определению субъектами рынков идентификаторов инвестиционных проектов,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w:t>
            </w:r>
            <w:r w:rsidRPr="006378D8">
              <w:rPr>
                <w:rFonts w:ascii="Times New Roman" w:hAnsi="Times New Roman" w:cs="Times New Roman"/>
                <w:color w:val="333333"/>
                <w:sz w:val="28"/>
                <w:szCs w:val="28"/>
              </w:rPr>
              <w:lastRenderedPageBreak/>
              <w:t>инвестиционной программы) определяются в соответствии с методическими указаниями, утверждаемыми Министерством энергетики Российской Федерации;</w:t>
            </w:r>
          </w:p>
        </w:tc>
        <w:tc>
          <w:tcPr>
            <w:tcW w:w="3341"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3"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3</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4"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4</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w:t>
            </w:r>
            <w:r w:rsidRPr="006378D8">
              <w:rPr>
                <w:rFonts w:ascii="Times New Roman" w:hAnsi="Times New Roman" w:cs="Times New Roman"/>
                <w:color w:val="333333"/>
                <w:sz w:val="28"/>
                <w:szCs w:val="28"/>
              </w:rPr>
              <w:lastRenderedPageBreak/>
              <w:t>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5"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5</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результаты расчетов объемов финансовых потребностей, необходимых для строительства (реконструкции)</w:t>
            </w:r>
            <w:r w:rsidRPr="006378D8">
              <w:rPr>
                <w:rFonts w:ascii="Times New Roman" w:hAnsi="Times New Roman" w:cs="Times New Roman"/>
                <w:color w:val="333333"/>
                <w:sz w:val="28"/>
                <w:szCs w:val="28"/>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6"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6</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w:t>
            </w:r>
            <w:r w:rsidRPr="006378D8">
              <w:rPr>
                <w:rFonts w:ascii="Times New Roman" w:hAnsi="Times New Roman" w:cs="Times New Roman"/>
                <w:color w:val="333333"/>
                <w:sz w:val="28"/>
                <w:szCs w:val="28"/>
              </w:rPr>
              <w:lastRenderedPageBreak/>
              <w:t>(проекта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7</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8"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8</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w:t>
            </w:r>
            <w:r w:rsidRPr="006378D8">
              <w:rPr>
                <w:rFonts w:ascii="Times New Roman" w:hAnsi="Times New Roman" w:cs="Times New Roman"/>
                <w:color w:val="333333"/>
                <w:sz w:val="28"/>
                <w:szCs w:val="28"/>
              </w:rPr>
              <w:lastRenderedPageBreak/>
              <w:t>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29"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9</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11(8) настоящего документа;</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0"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10</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1"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w:t>
            </w:r>
            <w:r w:rsidRPr="006378D8">
              <w:rPr>
                <w:rFonts w:ascii="Times New Roman" w:hAnsi="Times New Roman" w:cs="Times New Roman"/>
                <w:color w:val="333333"/>
                <w:sz w:val="28"/>
                <w:szCs w:val="28"/>
              </w:rPr>
              <w:lastRenderedPageBreak/>
              <w:t>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2"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12</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3"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13</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w:t>
            </w:r>
            <w:r w:rsidRPr="006378D8">
              <w:rPr>
                <w:rFonts w:ascii="Times New Roman" w:hAnsi="Times New Roman" w:cs="Times New Roman"/>
                <w:color w:val="333333"/>
                <w:sz w:val="28"/>
                <w:szCs w:val="28"/>
              </w:rPr>
              <w:lastRenderedPageBreak/>
              <w:t>(не раскрывается при опубликовании информации о проекте инвестиционной программы в случаях, если сроки раскрытия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4"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14</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5"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15</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6"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16</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предусмотренными пунктом 5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w:t>
            </w:r>
            <w:r w:rsidRPr="006378D8">
              <w:rPr>
                <w:rFonts w:ascii="Times New Roman" w:hAnsi="Times New Roman" w:cs="Times New Roman"/>
                <w:color w:val="333333"/>
                <w:sz w:val="28"/>
                <w:szCs w:val="28"/>
              </w:rPr>
              <w:lastRenderedPageBreak/>
              <w:t>инвестиционных программ субъектов электроэнергетики и контроля за их реализацией";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35"/>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17</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8"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3050"/>
        </w:trPr>
        <w:tc>
          <w:tcPr>
            <w:tcW w:w="0" w:type="auto"/>
            <w:vMerge/>
            <w:tcBorders>
              <w:top w:val="nil"/>
              <w:left w:val="single" w:sz="8" w:space="0" w:color="auto"/>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0" w:type="auto"/>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935" w:type="dxa"/>
            <w:tcBorders>
              <w:top w:val="nil"/>
              <w:left w:val="nil"/>
              <w:bottom w:val="outset"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w:t>
            </w:r>
          </w:p>
        </w:tc>
        <w:tc>
          <w:tcPr>
            <w:tcW w:w="4029" w:type="dxa"/>
            <w:vMerge/>
            <w:tcBorders>
              <w:top w:val="nil"/>
              <w:left w:val="nil"/>
              <w:bottom w:val="single"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Формы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информации,раскрываются согласно приложениям N 1 - 19 к Приказу Минэнерго России от 05.05.2016 N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w:t>
            </w:r>
            <w:r w:rsidRPr="006378D8">
              <w:rPr>
                <w:rFonts w:ascii="Times New Roman" w:hAnsi="Times New Roman" w:cs="Times New Roman"/>
                <w:color w:val="333333"/>
                <w:sz w:val="28"/>
                <w:szCs w:val="28"/>
              </w:rPr>
              <w:lastRenderedPageBreak/>
              <w:t>вносимых в инвестиционную программу) и обосновывающих ее материалах" (далее-Приказ Минэнерго № 380);</w:t>
            </w:r>
            <w:r w:rsidRPr="006378D8">
              <w:rPr>
                <w:rFonts w:ascii="Times New Roman" w:hAnsi="Times New Roman" w:cs="Times New Roman"/>
                <w:color w:val="333333"/>
                <w:sz w:val="28"/>
                <w:szCs w:val="28"/>
              </w:rPr>
              <w:br/>
              <w:t>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раскрываются согласно приложению N 20 к Приказу Минэнерго № 380;</w:t>
            </w:r>
            <w:r w:rsidRPr="006378D8">
              <w:rPr>
                <w:rFonts w:ascii="Times New Roman" w:hAnsi="Times New Roman" w:cs="Times New Roman"/>
                <w:color w:val="333333"/>
                <w:sz w:val="28"/>
                <w:szCs w:val="28"/>
              </w:rPr>
              <w:br/>
              <w:t>Требования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раскрываются согласно приложению N 21 к Приказу Минэнерго № 380.</w:t>
            </w:r>
            <w:r w:rsidRPr="006378D8">
              <w:rPr>
                <w:rFonts w:ascii="Times New Roman" w:hAnsi="Times New Roman" w:cs="Times New Roman"/>
                <w:color w:val="333333"/>
                <w:sz w:val="28"/>
                <w:szCs w:val="28"/>
              </w:rPr>
              <w:br/>
              <w:t>Информация, указанная в абзацах одиннадцатом - семнадцатом подпункта "ж" пункта 11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lastRenderedPageBreak/>
              <w:t> </w:t>
            </w:r>
          </w:p>
        </w:tc>
      </w:tr>
      <w:tr w:rsidR="006378D8" w:rsidRPr="006378D8" w:rsidTr="006378D8">
        <w:trPr>
          <w:trHeight w:val="1515"/>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ж</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ежегодно, до 1 апреля,</w:t>
            </w:r>
            <w:r w:rsidRPr="006378D8">
              <w:rPr>
                <w:rFonts w:ascii="Times New Roman" w:hAnsi="Times New Roman" w:cs="Times New Roman"/>
                <w:color w:val="000000"/>
                <w:sz w:val="28"/>
                <w:szCs w:val="28"/>
              </w:rPr>
              <w:t> по результатам исполнения инвестиционной программы за предыдущий календарный</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год, а также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ежеквартально</w:t>
            </w:r>
            <w:r w:rsidRPr="006378D8">
              <w:rPr>
                <w:rFonts w:ascii="Times New Roman" w:hAnsi="Times New Roman" w:cs="Times New Roman"/>
                <w:color w:val="000000"/>
                <w:sz w:val="28"/>
                <w:szCs w:val="28"/>
              </w:rPr>
              <w:t> не позднее 45 дней после окончания отчетного квартала</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ж(1)) об отчетах о реализации инвестиционной программы и об обосновывающих их материалах, включая:</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отчет о реализации инвестиционной программы, сформированный с распределением по перечням инвестиционных проектов, с указанием фактических:</w:t>
            </w:r>
            <w:r w:rsidRPr="006378D8">
              <w:rPr>
                <w:rFonts w:ascii="Times New Roman" w:hAnsi="Times New Roman" w:cs="Times New Roman"/>
                <w:color w:val="333333"/>
                <w:sz w:val="28"/>
                <w:szCs w:val="28"/>
              </w:rPr>
              <w:br/>
              <w:t>-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sidRPr="006378D8">
              <w:rPr>
                <w:rFonts w:ascii="Times New Roman" w:hAnsi="Times New Roman" w:cs="Times New Roman"/>
                <w:color w:val="333333"/>
                <w:sz w:val="28"/>
                <w:szCs w:val="28"/>
              </w:rPr>
              <w:br/>
              <w:t>-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6378D8">
              <w:rPr>
                <w:rFonts w:ascii="Times New Roman" w:hAnsi="Times New Roman" w:cs="Times New Roman"/>
                <w:color w:val="333333"/>
                <w:sz w:val="28"/>
                <w:szCs w:val="28"/>
              </w:rPr>
              <w:br/>
              <w:t>- объемов ввода объектов основных средств в натуральном и стоимостном выражении по инвестиционным проектам инвестиционной программы;</w:t>
            </w:r>
            <w:r w:rsidRPr="006378D8">
              <w:rPr>
                <w:rFonts w:ascii="Times New Roman" w:hAnsi="Times New Roman" w:cs="Times New Roman"/>
                <w:color w:val="333333"/>
                <w:sz w:val="28"/>
                <w:szCs w:val="28"/>
              </w:rPr>
              <w:br/>
              <w:t xml:space="preserve">-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w:t>
            </w:r>
            <w:r w:rsidRPr="006378D8">
              <w:rPr>
                <w:rFonts w:ascii="Times New Roman" w:hAnsi="Times New Roman" w:cs="Times New Roman"/>
                <w:color w:val="333333"/>
                <w:sz w:val="28"/>
                <w:szCs w:val="28"/>
              </w:rPr>
              <w:lastRenderedPageBreak/>
              <w:t>которых Министерством энергетики Российской Федерации установлены укрупненные нормативы цены;</w:t>
            </w:r>
            <w:r w:rsidRPr="006378D8">
              <w:rPr>
                <w:rFonts w:ascii="Times New Roman" w:hAnsi="Times New Roman" w:cs="Times New Roman"/>
                <w:color w:val="333333"/>
                <w:sz w:val="28"/>
                <w:szCs w:val="28"/>
              </w:rPr>
              <w:br/>
              <w:t>-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sidRPr="006378D8">
              <w:rPr>
                <w:rFonts w:ascii="Times New Roman" w:hAnsi="Times New Roman" w:cs="Times New Roman"/>
                <w:color w:val="333333"/>
                <w:sz w:val="28"/>
                <w:szCs w:val="28"/>
              </w:rPr>
              <w:br/>
              <w:t>-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r w:rsidRPr="006378D8">
              <w:rPr>
                <w:rFonts w:ascii="Times New Roman" w:hAnsi="Times New Roman" w:cs="Times New Roman"/>
                <w:color w:val="333333"/>
                <w:sz w:val="28"/>
                <w:szCs w:val="28"/>
              </w:rPr>
              <w:br/>
              <w:t>- отчет об исполнении финансового плана субъекта электроэнергетики;</w:t>
            </w:r>
            <w:r w:rsidRPr="006378D8">
              <w:rPr>
                <w:rFonts w:ascii="Times New Roman" w:hAnsi="Times New Roman" w:cs="Times New Roman"/>
                <w:color w:val="333333"/>
                <w:sz w:val="28"/>
                <w:szCs w:val="28"/>
              </w:rPr>
              <w:br/>
              <w:t>паспорта инвестиционных проектов, содержащие информацию, предусмотренную пунктом 11(8) настоящего документа, по состоянию на отчетную дату;</w:t>
            </w:r>
            <w:r w:rsidRPr="006378D8">
              <w:rPr>
                <w:rFonts w:ascii="Times New Roman" w:hAnsi="Times New Roman" w:cs="Times New Roman"/>
                <w:color w:val="333333"/>
                <w:sz w:val="28"/>
                <w:szCs w:val="28"/>
              </w:rPr>
              <w:b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пунктом 5 постановления Правительства Российской Федерации от 16 февраля 2015 г. N 132 "О внесении изменений в некоторые акты </w:t>
            </w:r>
            <w:r w:rsidRPr="006378D8">
              <w:rPr>
                <w:rFonts w:ascii="Times New Roman" w:hAnsi="Times New Roman" w:cs="Times New Roman"/>
                <w:color w:val="333333"/>
                <w:sz w:val="28"/>
                <w:szCs w:val="28"/>
              </w:rPr>
              <w:lastRenderedPageBreak/>
              <w:t>Правительства Российской Федерации по вопросам утверждения инвестиционных программ субъектов электроэнергетики и контроля за их реализацией"; Информация, указанная в абзацах втором - десятом подпункта "ж(1)" пункта 11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39" w:history="1">
              <w:r w:rsidRPr="006378D8">
                <w:rPr>
                  <w:rStyle w:val="a3"/>
                  <w:rFonts w:ascii="Times New Roman" w:hAnsi="Times New Roman" w:cs="Times New Roman"/>
                  <w:color w:val="090084"/>
                  <w:sz w:val="28"/>
                  <w:szCs w:val="28"/>
                  <w:u w:val="none"/>
                </w:rPr>
                <w:t>Ссылка</w:t>
              </w:r>
            </w:hyperlink>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hyperlink r:id="rId40" w:history="1">
              <w:r w:rsidRPr="006378D8">
                <w:rPr>
                  <w:rStyle w:val="a3"/>
                  <w:rFonts w:ascii="Times New Roman" w:hAnsi="Times New Roman" w:cs="Times New Roman"/>
                  <w:color w:val="090084"/>
                  <w:sz w:val="28"/>
                  <w:szCs w:val="28"/>
                  <w:u w:val="none"/>
                </w:rPr>
                <w:t>Ссылка</w:t>
              </w:r>
            </w:hyperlink>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333399"/>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hyperlink r:id="rId41" w:history="1">
              <w:r w:rsidRPr="006378D8">
                <w:rPr>
                  <w:rStyle w:val="a3"/>
                  <w:rFonts w:ascii="Times New Roman" w:hAnsi="Times New Roman" w:cs="Times New Roman"/>
                  <w:color w:val="090084"/>
                  <w:sz w:val="28"/>
                  <w:szCs w:val="28"/>
                  <w:u w:val="none"/>
                </w:rPr>
                <w:t>Ссылка</w:t>
              </w:r>
            </w:hyperlink>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hyperlink r:id="rId42" w:history="1">
              <w:r w:rsidRPr="006378D8">
                <w:rPr>
                  <w:rStyle w:val="a3"/>
                  <w:rFonts w:ascii="Times New Roman" w:hAnsi="Times New Roman" w:cs="Times New Roman"/>
                  <w:color w:val="090084"/>
                  <w:sz w:val="28"/>
                  <w:szCs w:val="28"/>
                  <w:u w:val="none"/>
                </w:rPr>
                <w:t>Ссылка</w:t>
              </w:r>
            </w:hyperlink>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hyperlink r:id="rId43"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9</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val="restart"/>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ежегодно, до 1 апреля </w:t>
            </w:r>
            <w:r w:rsidRPr="006378D8">
              <w:rPr>
                <w:rFonts w:ascii="Times New Roman" w:hAnsi="Times New Roman" w:cs="Times New Roman"/>
                <w:color w:val="000000"/>
                <w:sz w:val="28"/>
                <w:szCs w:val="28"/>
              </w:rPr>
              <w:t>(за предыдущий период регулирования)</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9б) структура и объем затрат на производство и реализацию товаров (работ, услуг); 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4"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9</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в</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9в) в случае применения метода доходности инвестированного капитала при государственном регулировании тарифов в </w:t>
            </w:r>
            <w:r w:rsidRPr="006378D8">
              <w:rPr>
                <w:rFonts w:ascii="Times New Roman" w:hAnsi="Times New Roman" w:cs="Times New Roman"/>
                <w:color w:val="333333"/>
                <w:sz w:val="28"/>
                <w:szCs w:val="28"/>
              </w:rPr>
              <w:lastRenderedPageBreak/>
              <w:t xml:space="preserve">отношении субъектов рынков электрической энергии: - подконтрольные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 -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течении года; - отчет о вводе активов в течение года, в том числе за счет переоценки, модернизации, реконструкции, строительства и приобретения нового оборудования; Информация, указанная в п. 9 б Стандартов, должна быть раскрыта по форме, утвержденной Приказом ФСТ России от 24.10.2014г. № 1831– э «Об утверждении форм раскрытия </w:t>
            </w:r>
            <w:r w:rsidRPr="006378D8">
              <w:rPr>
                <w:rFonts w:ascii="Times New Roman" w:hAnsi="Times New Roman" w:cs="Times New Roman"/>
                <w:color w:val="333333"/>
                <w:sz w:val="28"/>
                <w:szCs w:val="28"/>
              </w:rPr>
              <w:lastRenderedPageBreak/>
              <w:t>информации субъектами рынков электрической энергии и мощности, являющимися субъектами естественных монополий».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Style w:val="a5"/>
                <w:rFonts w:ascii="Times New Roman" w:hAnsi="Times New Roman" w:cs="Times New Roman"/>
                <w:color w:val="000000"/>
                <w:sz w:val="28"/>
                <w:szCs w:val="28"/>
                <w:shd w:val="clear" w:color="auto" w:fill="FFFFFF"/>
              </w:rPr>
              <w:lastRenderedPageBreak/>
              <w:t>данный метод не установлен</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л</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11л) о качестве обслуживания потребителей услуг сетевой организации; Информация указанная в п. 11л Стандартов раскрывается по фомам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5"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9</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а</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ежегодно (за предыдущий период регулирования)</w:t>
            </w:r>
          </w:p>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 xml:space="preserve">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на официальном сайте в сети "Интернет", определяемом Правительством Российской Федерации для раскрытия информации об </w:t>
            </w:r>
            <w:r w:rsidRPr="006378D8">
              <w:rPr>
                <w:rFonts w:ascii="Times New Roman" w:hAnsi="Times New Roman" w:cs="Times New Roman"/>
                <w:color w:val="000000"/>
                <w:sz w:val="28"/>
                <w:szCs w:val="28"/>
              </w:rPr>
              <w:lastRenderedPageBreak/>
              <w:t>инвестиционных программах указанных субъектов электроэнергетики, ежегодно,</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не позднее 1 апреля. </w:t>
            </w:r>
            <w:r w:rsidRPr="006378D8">
              <w:rPr>
                <w:rFonts w:ascii="Times New Roman" w:hAnsi="Times New Roman" w:cs="Times New Roman"/>
                <w:color w:val="FF0000"/>
                <w:sz w:val="28"/>
                <w:szCs w:val="28"/>
              </w:rPr>
              <w:br/>
            </w:r>
            <w:r w:rsidRPr="006378D8">
              <w:rPr>
                <w:rFonts w:ascii="Times New Roman" w:hAnsi="Times New Roman" w:cs="Times New Roman"/>
                <w:color w:val="000000"/>
                <w:sz w:val="28"/>
                <w:szCs w:val="28"/>
              </w:rPr>
              <w:t>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9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w:t>
            </w:r>
            <w:r w:rsidRPr="006378D8">
              <w:rPr>
                <w:rFonts w:ascii="Times New Roman" w:hAnsi="Times New Roman" w:cs="Times New Roman"/>
                <w:color w:val="FF0000"/>
                <w:sz w:val="28"/>
                <w:szCs w:val="28"/>
              </w:rPr>
              <w:t>не позднее 1 июня.</w:t>
            </w:r>
            <w:r w:rsidRPr="006378D8">
              <w:rPr>
                <w:rFonts w:ascii="Times New Roman" w:hAnsi="Times New Roman" w:cs="Times New Roman"/>
                <w:color w:val="000000"/>
                <w:sz w:val="28"/>
                <w:szCs w:val="28"/>
              </w:rPr>
              <w:br/>
            </w:r>
            <w:r w:rsidRPr="006378D8">
              <w:rPr>
                <w:rFonts w:ascii="Times New Roman" w:hAnsi="Times New Roman" w:cs="Times New Roman"/>
                <w:color w:val="000000"/>
                <w:sz w:val="28"/>
                <w:szCs w:val="28"/>
              </w:rPr>
              <w:br/>
            </w:r>
            <w:r w:rsidRPr="006378D8">
              <w:rPr>
                <w:rFonts w:ascii="Times New Roman" w:hAnsi="Times New Roman" w:cs="Times New Roman"/>
                <w:color w:val="000000"/>
                <w:sz w:val="28"/>
                <w:szCs w:val="28"/>
              </w:rPr>
              <w:br/>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lastRenderedPageBreak/>
              <w:t>9а)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6"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9</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г</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За 10 дней </w:t>
            </w:r>
            <w:r w:rsidRPr="006378D8">
              <w:rPr>
                <w:rFonts w:ascii="Times New Roman" w:hAnsi="Times New Roman" w:cs="Times New Roman"/>
                <w:color w:val="000000"/>
                <w:sz w:val="28"/>
                <w:szCs w:val="28"/>
              </w:rPr>
              <w:t>до предоставления в Министерство тарифного регулирования и энергетики предложения об установлении тарифов или их предельных уровней</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9г)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Информация, указанная в п. 9 г Стандартов, должна быть раскрыта по форме Приложения № 1 к Стандартам, утвержденной Приказом Правительства Российской Федерации от 09.08.2014 г. № 787 " О внесении изменений в некоторые акты Правительства Российской Федерации"</w:t>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а (2)</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За 10 дней</w:t>
            </w:r>
            <w:r w:rsidRPr="006378D8">
              <w:rPr>
                <w:rFonts w:ascii="Times New Roman" w:hAnsi="Times New Roman" w:cs="Times New Roman"/>
                <w:color w:val="000000"/>
                <w:sz w:val="28"/>
                <w:szCs w:val="28"/>
              </w:rPr>
              <w:t> до предоставления в Министерство тарифного регулирования и энергетики прогнозных сведений о расходах за технологическое присоединение на очередной календарный год.</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 а(2)) о прогнозных сведениях о расходах за технологическое присоединение на очередной календарный год - для территориальных сетевых организаций:</w:t>
            </w:r>
            <w:r w:rsidRPr="006378D8">
              <w:rPr>
                <w:rFonts w:ascii="Times New Roman" w:hAnsi="Times New Roman" w:cs="Times New Roman"/>
                <w:color w:val="333333"/>
                <w:sz w:val="28"/>
                <w:szCs w:val="28"/>
              </w:rPr>
              <w:br/>
              <w:t>Территориальные сетевые организации раскрывают:</w:t>
            </w:r>
            <w:r w:rsidRPr="006378D8">
              <w:rPr>
                <w:rFonts w:ascii="Times New Roman" w:hAnsi="Times New Roman" w:cs="Times New Roman"/>
                <w:color w:val="333333"/>
                <w:sz w:val="28"/>
                <w:szCs w:val="28"/>
              </w:rPr>
              <w:br/>
              <w:t xml:space="preserve">информацию о прогнозных сведениях о расходах за технологическое присоединение, </w:t>
            </w:r>
            <w:r w:rsidRPr="006378D8">
              <w:rPr>
                <w:rFonts w:ascii="Times New Roman" w:hAnsi="Times New Roman" w:cs="Times New Roman"/>
                <w:color w:val="333333"/>
                <w:sz w:val="28"/>
                <w:szCs w:val="28"/>
              </w:rPr>
              <w:lastRenderedPageBreak/>
              <w:t>указанную в подпункте "а(2)" пункта 11 настоящего документа, по форме согласно приложению N 2;</w:t>
            </w:r>
            <w:r w:rsidRPr="006378D8">
              <w:rPr>
                <w:rFonts w:ascii="Times New Roman" w:hAnsi="Times New Roman" w:cs="Times New Roman"/>
                <w:color w:val="333333"/>
                <w:sz w:val="28"/>
                <w:szCs w:val="28"/>
              </w:rPr>
              <w:br/>
              <w:t>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приложению N 3;</w:t>
            </w:r>
            <w:r w:rsidRPr="006378D8">
              <w:rPr>
                <w:rFonts w:ascii="Times New Roman" w:hAnsi="Times New Roman" w:cs="Times New Roman"/>
                <w:color w:val="333333"/>
                <w:sz w:val="28"/>
                <w:szCs w:val="28"/>
              </w:rPr>
              <w:br/>
              <w:t>информацию о расходах на мероприятия, осуществляемые при технологическом присоединении, по форме согласно приложению N 4;</w:t>
            </w:r>
            <w:r w:rsidRPr="006378D8">
              <w:rPr>
                <w:rFonts w:ascii="Times New Roman" w:hAnsi="Times New Roman" w:cs="Times New Roman"/>
                <w:color w:val="333333"/>
                <w:sz w:val="28"/>
                <w:szCs w:val="28"/>
              </w:rPr>
              <w:br/>
              <w:t>информацию о расчете необходимой валовой выручки сетевой организации на технологическое присоединение по форме согласно приложению N 5;</w:t>
            </w:r>
            <w:r w:rsidRPr="006378D8">
              <w:rPr>
                <w:rFonts w:ascii="Times New Roman" w:hAnsi="Times New Roman" w:cs="Times New Roman"/>
                <w:color w:val="333333"/>
                <w:sz w:val="28"/>
                <w:szCs w:val="28"/>
              </w:rPr>
              <w:br/>
              <w:t>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6;</w:t>
            </w:r>
            <w:r w:rsidRPr="006378D8">
              <w:rPr>
                <w:rFonts w:ascii="Times New Roman" w:hAnsi="Times New Roman" w:cs="Times New Roman"/>
                <w:color w:val="333333"/>
                <w:sz w:val="28"/>
                <w:szCs w:val="28"/>
              </w:rPr>
              <w:br/>
              <w:t>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7;</w:t>
            </w:r>
            <w:r w:rsidRPr="006378D8">
              <w:rPr>
                <w:rFonts w:ascii="Times New Roman" w:hAnsi="Times New Roman" w:cs="Times New Roman"/>
                <w:color w:val="333333"/>
                <w:sz w:val="28"/>
                <w:szCs w:val="28"/>
              </w:rPr>
              <w:br/>
              <w:t xml:space="preserve">информацию об осуществлении </w:t>
            </w:r>
            <w:r w:rsidRPr="006378D8">
              <w:rPr>
                <w:rFonts w:ascii="Times New Roman" w:hAnsi="Times New Roman" w:cs="Times New Roman"/>
                <w:color w:val="333333"/>
                <w:sz w:val="28"/>
                <w:szCs w:val="28"/>
              </w:rPr>
              <w:lastRenderedPageBreak/>
              <w:t>технологического присоединения по договорам, заключенным за текущий год, по форме согласно приложению N 8;</w:t>
            </w:r>
            <w:r w:rsidRPr="006378D8">
              <w:rPr>
                <w:rFonts w:ascii="Times New Roman" w:hAnsi="Times New Roman" w:cs="Times New Roman"/>
                <w:color w:val="333333"/>
                <w:sz w:val="28"/>
                <w:szCs w:val="28"/>
              </w:rPr>
              <w:br/>
              <w:t>информацию о поданных заявках на технологическое присоединение за текущий год по форме согласно приложению N 9.".</w:t>
            </w:r>
            <w:r w:rsidRPr="006378D8">
              <w:rPr>
                <w:rFonts w:ascii="Times New Roman" w:hAnsi="Times New Roman" w:cs="Times New Roman"/>
                <w:color w:val="333333"/>
                <w:sz w:val="28"/>
                <w:szCs w:val="28"/>
              </w:rPr>
              <w:br/>
            </w:r>
            <w:r w:rsidRPr="006378D8">
              <w:rPr>
                <w:rFonts w:ascii="Times New Roman" w:hAnsi="Times New Roman" w:cs="Times New Roman"/>
                <w:color w:val="333333"/>
                <w:sz w:val="28"/>
                <w:szCs w:val="28"/>
              </w:rPr>
              <w:br/>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8"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г</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2 раза в год,</w:t>
            </w:r>
            <w:r w:rsidRPr="006378D8">
              <w:rPr>
                <w:rFonts w:ascii="Times New Roman" w:hAnsi="Times New Roman" w:cs="Times New Roman"/>
                <w:color w:val="000000"/>
                <w:sz w:val="28"/>
                <w:szCs w:val="28"/>
              </w:rPr>
              <w:t> в конце каждого полугодия текущего года</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11г) о результатах контрольных замеров электрических параметров режимов работы оборудования объектов электросетевого хозяйства</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FF"/>
                <w:sz w:val="28"/>
                <w:szCs w:val="28"/>
              </w:rPr>
              <w:t>Ссылка</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в</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val="restart"/>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ежемесячно</w:t>
            </w:r>
            <w:r w:rsidRPr="006378D8">
              <w:rPr>
                <w:rFonts w:ascii="Times New Roman" w:hAnsi="Times New Roman" w:cs="Times New Roman"/>
                <w:color w:val="000000"/>
                <w:sz w:val="28"/>
                <w:szCs w:val="28"/>
              </w:rPr>
              <w:t> (и по мере обновления информации)</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FF"/>
                <w:sz w:val="28"/>
                <w:szCs w:val="28"/>
              </w:rPr>
              <w:t>В отношении трансформаторных подстанций 35 кВ и выше: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 поданных заявок и объема мощности, </w:t>
            </w:r>
            <w:r w:rsidRPr="006378D8">
              <w:rPr>
                <w:rFonts w:ascii="Times New Roman" w:hAnsi="Times New Roman" w:cs="Times New Roman"/>
                <w:color w:val="333333"/>
                <w:sz w:val="28"/>
                <w:szCs w:val="28"/>
              </w:rPr>
              <w:lastRenderedPageBreak/>
              <w:t>необходимого для их удовлетворения;</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аннулированных заявок на технологическое присоединение;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выполненных присоединений и присоединенной мощности;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Style w:val="a5"/>
                <w:rFonts w:ascii="Times New Roman" w:hAnsi="Times New Roman" w:cs="Times New Roman"/>
                <w:color w:val="090084"/>
                <w:sz w:val="28"/>
                <w:szCs w:val="28"/>
              </w:rPr>
              <w:lastRenderedPageBreak/>
              <w:t>Оборудование данного уровня отсутствует</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 </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 </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18</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11б.18) о вводе в ремонт и выводе из ремонта электросетевых объектов с указанием сроков (сводная информация);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49"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м</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 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w:t>
            </w:r>
            <w:r w:rsidRPr="006378D8">
              <w:rPr>
                <w:rFonts w:ascii="Times New Roman" w:hAnsi="Times New Roman" w:cs="Times New Roman"/>
                <w:color w:val="333333"/>
                <w:sz w:val="28"/>
                <w:szCs w:val="28"/>
              </w:rPr>
              <w:lastRenderedPageBreak/>
              <w:t>которой подтверждены сертификатом, выданным советом рынка, с указанием наименования такого производителя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line="384" w:lineRule="atLeast"/>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lastRenderedPageBreak/>
              <w:t>МУП "ЭТС" не осуществляет</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закуп электрической</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энергии у производителей</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электрической энергии</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(мощности) на розничном</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рынке электрической</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 xml:space="preserve">энергии, </w:t>
            </w:r>
            <w:r w:rsidRPr="006378D8">
              <w:rPr>
                <w:rFonts w:ascii="Times New Roman" w:hAnsi="Times New Roman" w:cs="Times New Roman"/>
                <w:b/>
                <w:bCs/>
                <w:color w:val="000080"/>
                <w:sz w:val="28"/>
                <w:szCs w:val="28"/>
              </w:rPr>
              <w:lastRenderedPageBreak/>
              <w:t>осуществляющих</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производство электрической</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энергии (мощности) на</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квалифицированных</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генерирующих объектах,</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функционирующих на основе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использования</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возобновляемых источников</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энергии, объемы</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подтверждены сертификатом,</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80"/>
                <w:sz w:val="28"/>
                <w:szCs w:val="28"/>
              </w:rPr>
              <w:t>выданным советом рынка.</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в (1)</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vMerge w:val="restart"/>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ежеквартально</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w:t>
            </w:r>
            <w:r w:rsidRPr="006378D8">
              <w:rPr>
                <w:rFonts w:ascii="Times New Roman" w:hAnsi="Times New Roman" w:cs="Times New Roman"/>
                <w:color w:val="333333"/>
                <w:sz w:val="28"/>
                <w:szCs w:val="28"/>
              </w:rPr>
              <w:lastRenderedPageBreak/>
              <w:t>декабря 2004 г. N 861, в разбивке по уровням напряжения;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0"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15</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11б.15) об объеме недопоставленной в результате аварийных отключений электрической энергии;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1"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16</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11б.16)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b/>
                <w:bCs/>
                <w:color w:val="0000FF"/>
                <w:sz w:val="28"/>
                <w:szCs w:val="28"/>
              </w:rPr>
              <w:t>Оборудование данного уровня отсутствует</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б</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17</w:t>
            </w:r>
          </w:p>
        </w:tc>
        <w:tc>
          <w:tcPr>
            <w:tcW w:w="4029" w:type="dxa"/>
            <w:vMerge/>
            <w:tcBorders>
              <w:top w:val="nil"/>
              <w:left w:val="nil"/>
              <w:bottom w:val="outset" w:sz="8" w:space="0" w:color="auto"/>
              <w:right w:val="single" w:sz="8" w:space="0" w:color="auto"/>
            </w:tcBorders>
            <w:shd w:val="clear" w:color="auto" w:fill="FEFFFF"/>
            <w:vAlign w:val="center"/>
            <w:hideMark/>
          </w:tcPr>
          <w:p w:rsidR="006378D8" w:rsidRPr="006378D8" w:rsidRDefault="006378D8">
            <w:pPr>
              <w:rPr>
                <w:rFonts w:ascii="Times New Roman" w:hAnsi="Times New Roman" w:cs="Times New Roman"/>
                <w:color w:val="333333"/>
                <w:sz w:val="28"/>
                <w:szCs w:val="28"/>
              </w:rPr>
            </w:pP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11б.17)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2"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е</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5 рабочих дней</w:t>
            </w:r>
            <w:r w:rsidRPr="006378D8">
              <w:rPr>
                <w:rFonts w:ascii="Times New Roman" w:hAnsi="Times New Roman" w:cs="Times New Roman"/>
                <w:color w:val="000000"/>
                <w:sz w:val="28"/>
                <w:szCs w:val="28"/>
              </w:rPr>
              <w:t> со дня изменений</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90084"/>
                <w:sz w:val="28"/>
                <w:szCs w:val="28"/>
              </w:rPr>
              <w:t>Ссылка</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д</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7 дней</w:t>
            </w:r>
            <w:r w:rsidRPr="006378D8">
              <w:rPr>
                <w:rFonts w:ascii="Times New Roman" w:hAnsi="Times New Roman" w:cs="Times New Roman"/>
                <w:color w:val="000000"/>
                <w:sz w:val="28"/>
                <w:szCs w:val="28"/>
              </w:rPr>
              <w:t> со дня поступления письменного запроса</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В отношении подстанций и распределительных пунктов напряжением ниже 35 кВ:</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FF"/>
                <w:sz w:val="28"/>
                <w:szCs w:val="28"/>
              </w:rPr>
              <w:t>Ссылка</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в</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7 дней</w:t>
            </w:r>
            <w:r w:rsidRPr="006378D8">
              <w:rPr>
                <w:rFonts w:ascii="Times New Roman" w:hAnsi="Times New Roman" w:cs="Times New Roman"/>
                <w:color w:val="000000"/>
                <w:sz w:val="28"/>
                <w:szCs w:val="28"/>
              </w:rPr>
              <w:t> со дня поступления письменного запроса</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В отношении подстанций и распределительных пунктов напряжением ниже 35 кВ:</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w:t>
            </w:r>
            <w:r w:rsidRPr="006378D8">
              <w:rPr>
                <w:rFonts w:ascii="Times New Roman" w:hAnsi="Times New Roman" w:cs="Times New Roman"/>
                <w:color w:val="333333"/>
                <w:sz w:val="28"/>
                <w:szCs w:val="28"/>
              </w:rPr>
              <w:lastRenderedPageBreak/>
              <w:t>технологического присоединения к эл/сетям по сетевой компании с указанием количества:</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поданных заявок и объема мощности, необходимого для их удовлетворения;</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аннулированных заявок на технологическое присоединение;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выполненных присоединений и присоединенной мощности;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3"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а (1)</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5 рабочих дней</w:t>
            </w:r>
            <w:r w:rsidRPr="006378D8">
              <w:rPr>
                <w:rFonts w:ascii="Times New Roman" w:hAnsi="Times New Roman" w:cs="Times New Roman"/>
                <w:color w:val="000000"/>
                <w:sz w:val="28"/>
                <w:szCs w:val="28"/>
              </w:rPr>
              <w:t> со дня поступления в сетевую организацию решения регулирующего органа об установлении тарифов</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 а (1)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FF"/>
                <w:sz w:val="28"/>
                <w:szCs w:val="28"/>
              </w:rPr>
              <w:t>Ссылка</w:t>
            </w:r>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е (1)</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5 рабочих дней</w:t>
            </w:r>
            <w:r w:rsidRPr="006378D8">
              <w:rPr>
                <w:rFonts w:ascii="Times New Roman" w:hAnsi="Times New Roman" w:cs="Times New Roman"/>
                <w:color w:val="000000"/>
                <w:sz w:val="28"/>
                <w:szCs w:val="28"/>
              </w:rPr>
              <w:t> со дня изменений</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11е(1)) О возможности подачи заявки на осуществление технологического присоединения энергопринимающих устройств </w:t>
            </w:r>
            <w:r w:rsidRPr="006378D8">
              <w:rPr>
                <w:rFonts w:ascii="Times New Roman" w:hAnsi="Times New Roman" w:cs="Times New Roman"/>
                <w:color w:val="333333"/>
                <w:sz w:val="28"/>
                <w:szCs w:val="28"/>
              </w:rPr>
              <w:lastRenderedPageBreak/>
              <w:t>заявителя к электрическим сетям (для энергопринимающих устройств максимальная мощность которых составляет до 150 кВт, для временного присоединения ЭПУ напряжением до 35 кВт, для присоединения ЭПУ, максимальная мощность которых составляет менее 15 кВт), а так же к электрическим сетям классом напряжения до 10 к В.</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4"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е (2)</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подлежит доведению до сведения заявителей с момента поступления заявки на технологическое присоединение</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11е(2))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5"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к</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FF0000"/>
                <w:sz w:val="28"/>
                <w:szCs w:val="28"/>
              </w:rPr>
              <w:t>в течение 5 рабочих дней</w:t>
            </w:r>
            <w:r w:rsidRPr="006378D8">
              <w:rPr>
                <w:rFonts w:ascii="Times New Roman" w:hAnsi="Times New Roman" w:cs="Times New Roman"/>
                <w:color w:val="000000"/>
                <w:sz w:val="28"/>
                <w:szCs w:val="28"/>
              </w:rPr>
              <w:t xml:space="preserve"> со дня получения заявления от лица, намеревающегося осуществить </w:t>
            </w:r>
            <w:r w:rsidRPr="006378D8">
              <w:rPr>
                <w:rFonts w:ascii="Times New Roman" w:hAnsi="Times New Roman" w:cs="Times New Roman"/>
                <w:color w:val="000000"/>
                <w:sz w:val="28"/>
                <w:szCs w:val="28"/>
              </w:rPr>
              <w:lastRenderedPageBreak/>
              <w:t>перераспределение максимальной мощности принадлежащих ему энергопринимающих устройств в пользу иных лиц- на сайте.</w:t>
            </w:r>
            <w:r w:rsidRPr="006378D8">
              <w:rPr>
                <w:rFonts w:ascii="Times New Roman" w:hAnsi="Times New Roman" w:cs="Times New Roman"/>
                <w:color w:val="FF0000"/>
                <w:sz w:val="28"/>
                <w:szCs w:val="28"/>
              </w:rPr>
              <w:t> В течении 7 дней</w:t>
            </w:r>
            <w:r w:rsidRPr="006378D8">
              <w:rPr>
                <w:rFonts w:ascii="Times New Roman" w:hAnsi="Times New Roman" w:cs="Times New Roman"/>
                <w:color w:val="000000"/>
                <w:sz w:val="28"/>
                <w:szCs w:val="28"/>
              </w:rPr>
              <w:t> с момента получения письменного запроса - письменно.</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lastRenderedPageBreak/>
              <w:t xml:space="preserve">11к) о лицах, намеревающих перераспределить максимальную мощность принадлежащих им энергопринимающих устройств в пользу иных </w:t>
            </w:r>
            <w:r w:rsidRPr="006378D8">
              <w:rPr>
                <w:rFonts w:ascii="Times New Roman" w:hAnsi="Times New Roman" w:cs="Times New Roman"/>
                <w:color w:val="333333"/>
                <w:sz w:val="28"/>
                <w:szCs w:val="28"/>
              </w:rPr>
              <w:lastRenderedPageBreak/>
              <w:t>лиц, включая:</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объем планируемой к перераспределению максимальной мощности;</w:t>
            </w:r>
          </w:p>
          <w:p w:rsidR="006378D8" w:rsidRPr="006378D8" w:rsidRDefault="006378D8">
            <w:pPr>
              <w:spacing w:before="30" w:line="384" w:lineRule="atLeast"/>
              <w:ind w:left="30" w:right="30"/>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наименование и место нахождения центра питания.</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6"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и</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outset"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w:t>
            </w:r>
            <w:r w:rsidRPr="006378D8">
              <w:rPr>
                <w:rFonts w:ascii="Times New Roman" w:hAnsi="Times New Roman" w:cs="Times New Roman"/>
                <w:color w:val="000000"/>
                <w:sz w:val="28"/>
                <w:szCs w:val="28"/>
              </w:rPr>
              <w:br/>
              <w:t>в течение 10 дней со дня вступления в силу изменений.</w:t>
            </w:r>
          </w:p>
        </w:tc>
        <w:tc>
          <w:tcPr>
            <w:tcW w:w="5873" w:type="dxa"/>
            <w:tcBorders>
              <w:top w:val="single" w:sz="8" w:space="0" w:color="auto"/>
              <w:left w:val="nil"/>
              <w:bottom w:val="nil"/>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333333"/>
                <w:sz w:val="28"/>
                <w:szCs w:val="28"/>
              </w:rPr>
              <w:t xml:space="preserve">11и)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сроках оказываемой потребителям услуги (осуществляемого процесса), порядок определения стоимости (если законодательством РФ предусмотрено взимание платы за исполнение услуги (процесса), а так же описание результата с указанием нормативных правовых актов, регламентирующих оказание соответствующей услуги (осуществление процесса). По форме Приложения №1 Приказа Минэнерго РФ от 15.04.2014 № 186 "О единых </w:t>
            </w:r>
            <w:r w:rsidRPr="006378D8">
              <w:rPr>
                <w:rFonts w:ascii="Times New Roman" w:hAnsi="Times New Roman" w:cs="Times New Roman"/>
                <w:color w:val="333333"/>
                <w:sz w:val="28"/>
                <w:szCs w:val="28"/>
              </w:rPr>
              <w:lastRenderedPageBreak/>
              <w:t>стандартах качества обслуживания сетевыми организациями потребителей услуг сетевых организаций".</w:t>
            </w:r>
          </w:p>
        </w:tc>
        <w:tc>
          <w:tcPr>
            <w:tcW w:w="334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hyperlink r:id="rId57" w:history="1">
              <w:r w:rsidRPr="006378D8">
                <w:rPr>
                  <w:rStyle w:val="a3"/>
                  <w:rFonts w:ascii="Times New Roman" w:hAnsi="Times New Roman" w:cs="Times New Roman"/>
                  <w:color w:val="090084"/>
                  <w:sz w:val="28"/>
                  <w:szCs w:val="28"/>
                  <w:u w:val="none"/>
                </w:rPr>
                <w:t>Ссылка</w:t>
              </w:r>
            </w:hyperlink>
          </w:p>
        </w:tc>
      </w:tr>
      <w:tr w:rsidR="006378D8" w:rsidRPr="006378D8" w:rsidTr="006378D8">
        <w:trPr>
          <w:trHeight w:val="1200"/>
        </w:trPr>
        <w:tc>
          <w:tcPr>
            <w:tcW w:w="848" w:type="dxa"/>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lang w:val="en-US"/>
              </w:rPr>
              <w:lastRenderedPageBreak/>
              <w:t>11</w:t>
            </w:r>
          </w:p>
        </w:tc>
        <w:tc>
          <w:tcPr>
            <w:tcW w:w="1291" w:type="dxa"/>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000000"/>
                <w:sz w:val="28"/>
                <w:szCs w:val="28"/>
              </w:rPr>
              <w:t>н</w:t>
            </w:r>
          </w:p>
        </w:tc>
        <w:tc>
          <w:tcPr>
            <w:tcW w:w="935" w:type="dxa"/>
            <w:tcBorders>
              <w:top w:val="nil"/>
              <w:left w:val="nil"/>
              <w:bottom w:val="single" w:sz="8" w:space="0" w:color="auto"/>
              <w:right w:val="single" w:sz="8" w:space="0" w:color="auto"/>
            </w:tcBorders>
            <w:shd w:val="clear" w:color="auto" w:fill="CCFFCC"/>
            <w:tcMar>
              <w:top w:w="15" w:type="dxa"/>
              <w:left w:w="15" w:type="dxa"/>
              <w:bottom w:w="0" w:type="dxa"/>
              <w:right w:w="15" w:type="dxa"/>
            </w:tcMar>
            <w:vAlign w:val="center"/>
            <w:hideMark/>
          </w:tcPr>
          <w:p w:rsidR="006378D8" w:rsidRPr="006378D8" w:rsidRDefault="006378D8">
            <w:pPr>
              <w:rPr>
                <w:rFonts w:ascii="Times New Roman" w:hAnsi="Times New Roman" w:cs="Times New Roman"/>
                <w:color w:val="333333"/>
                <w:sz w:val="28"/>
                <w:szCs w:val="28"/>
              </w:rPr>
            </w:pPr>
            <w:r w:rsidRPr="006378D8">
              <w:rPr>
                <w:rFonts w:ascii="Times New Roman" w:hAnsi="Times New Roman" w:cs="Times New Roman"/>
                <w:color w:val="333333"/>
                <w:sz w:val="28"/>
                <w:szCs w:val="28"/>
              </w:rPr>
              <w:t> </w:t>
            </w:r>
          </w:p>
        </w:tc>
        <w:tc>
          <w:tcPr>
            <w:tcW w:w="402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272727"/>
                <w:sz w:val="28"/>
                <w:szCs w:val="28"/>
                <w:shd w:val="clear" w:color="auto" w:fill="FFFFFF"/>
              </w:rPr>
              <w:t>подлежит размещению на официальном сайте сетевой организации в сети "Интернет".</w:t>
            </w:r>
          </w:p>
        </w:tc>
        <w:tc>
          <w:tcPr>
            <w:tcW w:w="587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378D8" w:rsidRPr="006378D8" w:rsidRDefault="006378D8">
            <w:pPr>
              <w:spacing w:before="100" w:beforeAutospacing="1" w:after="100" w:afterAutospacing="1" w:line="384" w:lineRule="atLeast"/>
              <w:jc w:val="center"/>
              <w:rPr>
                <w:rFonts w:ascii="Times New Roman" w:hAnsi="Times New Roman" w:cs="Times New Roman"/>
                <w:color w:val="333333"/>
                <w:sz w:val="28"/>
                <w:szCs w:val="28"/>
              </w:rPr>
            </w:pPr>
            <w:r w:rsidRPr="006378D8">
              <w:rPr>
                <w:rFonts w:ascii="Times New Roman" w:hAnsi="Times New Roman" w:cs="Times New Roman"/>
                <w:color w:val="272727"/>
                <w:sz w:val="28"/>
                <w:szCs w:val="28"/>
                <w:shd w:val="clear" w:color="auto" w:fill="FFFFFF"/>
              </w:rPr>
              <w:t>11 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334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6378D8" w:rsidRPr="006378D8" w:rsidRDefault="006378D8">
            <w:pPr>
              <w:spacing w:before="100" w:beforeAutospacing="1" w:after="100" w:afterAutospacing="1"/>
              <w:jc w:val="center"/>
              <w:rPr>
                <w:rFonts w:ascii="Times New Roman" w:hAnsi="Times New Roman" w:cs="Times New Roman"/>
                <w:color w:val="333333"/>
                <w:sz w:val="28"/>
                <w:szCs w:val="28"/>
              </w:rPr>
            </w:pPr>
            <w:r w:rsidRPr="006378D8">
              <w:rPr>
                <w:rStyle w:val="a5"/>
                <w:rFonts w:ascii="Times New Roman" w:hAnsi="Times New Roman" w:cs="Times New Roman"/>
                <w:color w:val="333333"/>
                <w:sz w:val="28"/>
                <w:szCs w:val="28"/>
              </w:rPr>
              <w:t>У МУП «ЭТС» отсутствуют договоры оказания услуг по передаче электрической энергии с потребителями электрической энергии, в связи с чем МУП «ЭТС» не осуществляет направления уведомлений о введении полного и (или) частичного ограничения режима потребления электрической энергии посредством подвижной радиотелефонной связи и  электронной почтой</w:t>
            </w:r>
          </w:p>
        </w:tc>
      </w:tr>
    </w:tbl>
    <w:p w:rsidR="006378D8" w:rsidRPr="006378D8" w:rsidRDefault="006378D8" w:rsidP="006378D8">
      <w:pPr>
        <w:spacing w:before="100" w:beforeAutospacing="1" w:after="100" w:afterAutospacing="1"/>
        <w:rPr>
          <w:rFonts w:ascii="Times New Roman" w:hAnsi="Times New Roman" w:cs="Times New Roman"/>
          <w:color w:val="333333"/>
          <w:sz w:val="28"/>
          <w:szCs w:val="28"/>
        </w:rPr>
      </w:pPr>
      <w:r w:rsidRPr="006378D8">
        <w:rPr>
          <w:rStyle w:val="a5"/>
          <w:rFonts w:ascii="Times New Roman" w:hAnsi="Times New Roman" w:cs="Times New Roman"/>
          <w:color w:val="333333"/>
          <w:sz w:val="28"/>
          <w:szCs w:val="28"/>
        </w:rPr>
        <w:t> </w:t>
      </w:r>
    </w:p>
    <w:p w:rsidR="00B807A0" w:rsidRPr="006378D8" w:rsidRDefault="00B807A0" w:rsidP="006378D8">
      <w:pPr>
        <w:rPr>
          <w:rFonts w:ascii="Times New Roman" w:hAnsi="Times New Roman" w:cs="Times New Roman"/>
          <w:sz w:val="28"/>
          <w:szCs w:val="28"/>
        </w:rPr>
      </w:pPr>
    </w:p>
    <w:sectPr w:rsidR="00B807A0" w:rsidRPr="006378D8" w:rsidSect="006378D8">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B4"/>
    <w:rsid w:val="00183EC0"/>
    <w:rsid w:val="00203DB4"/>
    <w:rsid w:val="002E394A"/>
    <w:rsid w:val="003043A6"/>
    <w:rsid w:val="00570412"/>
    <w:rsid w:val="006378D8"/>
    <w:rsid w:val="00713E1E"/>
    <w:rsid w:val="00743918"/>
    <w:rsid w:val="009B3678"/>
    <w:rsid w:val="00A632A0"/>
    <w:rsid w:val="00A97F89"/>
    <w:rsid w:val="00AB5857"/>
    <w:rsid w:val="00B807A0"/>
    <w:rsid w:val="00D5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58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5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3063">
      <w:bodyDiv w:val="1"/>
      <w:marLeft w:val="0"/>
      <w:marRight w:val="0"/>
      <w:marTop w:val="0"/>
      <w:marBottom w:val="0"/>
      <w:divBdr>
        <w:top w:val="none" w:sz="0" w:space="0" w:color="auto"/>
        <w:left w:val="none" w:sz="0" w:space="0" w:color="auto"/>
        <w:bottom w:val="none" w:sz="0" w:space="0" w:color="auto"/>
        <w:right w:val="none" w:sz="0" w:space="0" w:color="auto"/>
      </w:divBdr>
    </w:div>
    <w:div w:id="348335682">
      <w:bodyDiv w:val="1"/>
      <w:marLeft w:val="0"/>
      <w:marRight w:val="0"/>
      <w:marTop w:val="0"/>
      <w:marBottom w:val="0"/>
      <w:divBdr>
        <w:top w:val="none" w:sz="0" w:space="0" w:color="auto"/>
        <w:left w:val="none" w:sz="0" w:space="0" w:color="auto"/>
        <w:bottom w:val="none" w:sz="0" w:space="0" w:color="auto"/>
        <w:right w:val="none" w:sz="0" w:space="0" w:color="auto"/>
      </w:divBdr>
    </w:div>
    <w:div w:id="680545768">
      <w:bodyDiv w:val="1"/>
      <w:marLeft w:val="0"/>
      <w:marRight w:val="0"/>
      <w:marTop w:val="0"/>
      <w:marBottom w:val="0"/>
      <w:divBdr>
        <w:top w:val="none" w:sz="0" w:space="0" w:color="auto"/>
        <w:left w:val="none" w:sz="0" w:space="0" w:color="auto"/>
        <w:bottom w:val="none" w:sz="0" w:space="0" w:color="auto"/>
        <w:right w:val="none" w:sz="0" w:space="0" w:color="auto"/>
      </w:divBdr>
    </w:div>
    <w:div w:id="871000302">
      <w:bodyDiv w:val="1"/>
      <w:marLeft w:val="0"/>
      <w:marRight w:val="0"/>
      <w:marTop w:val="0"/>
      <w:marBottom w:val="0"/>
      <w:divBdr>
        <w:top w:val="none" w:sz="0" w:space="0" w:color="auto"/>
        <w:left w:val="none" w:sz="0" w:space="0" w:color="auto"/>
        <w:bottom w:val="none" w:sz="0" w:space="0" w:color="auto"/>
        <w:right w:val="none" w:sz="0" w:space="0" w:color="auto"/>
      </w:divBdr>
    </w:div>
    <w:div w:id="1192766522">
      <w:bodyDiv w:val="1"/>
      <w:marLeft w:val="0"/>
      <w:marRight w:val="0"/>
      <w:marTop w:val="0"/>
      <w:marBottom w:val="0"/>
      <w:divBdr>
        <w:top w:val="none" w:sz="0" w:space="0" w:color="auto"/>
        <w:left w:val="none" w:sz="0" w:space="0" w:color="auto"/>
        <w:bottom w:val="none" w:sz="0" w:space="0" w:color="auto"/>
        <w:right w:val="none" w:sz="0" w:space="0" w:color="auto"/>
      </w:divBdr>
    </w:div>
    <w:div w:id="1345790865">
      <w:bodyDiv w:val="1"/>
      <w:marLeft w:val="0"/>
      <w:marRight w:val="0"/>
      <w:marTop w:val="0"/>
      <w:marBottom w:val="0"/>
      <w:divBdr>
        <w:top w:val="none" w:sz="0" w:space="0" w:color="auto"/>
        <w:left w:val="none" w:sz="0" w:space="0" w:color="auto"/>
        <w:bottom w:val="none" w:sz="0" w:space="0" w:color="auto"/>
        <w:right w:val="none" w:sz="0" w:space="0" w:color="auto"/>
      </w:divBdr>
    </w:div>
    <w:div w:id="1688553677">
      <w:bodyDiv w:val="1"/>
      <w:marLeft w:val="0"/>
      <w:marRight w:val="0"/>
      <w:marTop w:val="0"/>
      <w:marBottom w:val="0"/>
      <w:divBdr>
        <w:top w:val="none" w:sz="0" w:space="0" w:color="auto"/>
        <w:left w:val="none" w:sz="0" w:space="0" w:color="auto"/>
        <w:bottom w:val="none" w:sz="0" w:space="0" w:color="auto"/>
        <w:right w:val="none" w:sz="0" w:space="0" w:color="auto"/>
      </w:divBdr>
    </w:div>
    <w:div w:id="1708794218">
      <w:bodyDiv w:val="1"/>
      <w:marLeft w:val="0"/>
      <w:marRight w:val="0"/>
      <w:marTop w:val="0"/>
      <w:marBottom w:val="0"/>
      <w:divBdr>
        <w:top w:val="none" w:sz="0" w:space="0" w:color="auto"/>
        <w:left w:val="none" w:sz="0" w:space="0" w:color="auto"/>
        <w:bottom w:val="none" w:sz="0" w:space="0" w:color="auto"/>
        <w:right w:val="none" w:sz="0" w:space="0" w:color="auto"/>
      </w:divBdr>
    </w:div>
    <w:div w:id="1910841604">
      <w:bodyDiv w:val="1"/>
      <w:marLeft w:val="0"/>
      <w:marRight w:val="0"/>
      <w:marTop w:val="0"/>
      <w:marBottom w:val="0"/>
      <w:divBdr>
        <w:top w:val="none" w:sz="0" w:space="0" w:color="auto"/>
        <w:left w:val="none" w:sz="0" w:space="0" w:color="auto"/>
        <w:bottom w:val="none" w:sz="0" w:space="0" w:color="auto"/>
        <w:right w:val="none" w:sz="0" w:space="0" w:color="auto"/>
      </w:divBdr>
    </w:div>
    <w:div w:id="2072074760">
      <w:bodyDiv w:val="1"/>
      <w:marLeft w:val="0"/>
      <w:marRight w:val="0"/>
      <w:marTop w:val="0"/>
      <w:marBottom w:val="0"/>
      <w:divBdr>
        <w:top w:val="none" w:sz="0" w:space="0" w:color="auto"/>
        <w:left w:val="none" w:sz="0" w:space="0" w:color="auto"/>
        <w:bottom w:val="none" w:sz="0" w:space="0" w:color="auto"/>
        <w:right w:val="none" w:sz="0" w:space="0" w:color="auto"/>
      </w:divBdr>
      <w:divsChild>
        <w:div w:id="1674720689">
          <w:marLeft w:val="0"/>
          <w:marRight w:val="0"/>
          <w:marTop w:val="0"/>
          <w:marBottom w:val="0"/>
          <w:divBdr>
            <w:top w:val="none" w:sz="0" w:space="0" w:color="auto"/>
            <w:left w:val="none" w:sz="0" w:space="0" w:color="auto"/>
            <w:bottom w:val="none" w:sz="0" w:space="0" w:color="auto"/>
            <w:right w:val="none" w:sz="0" w:space="0" w:color="auto"/>
          </w:divBdr>
        </w:div>
        <w:div w:id="1391995056">
          <w:marLeft w:val="0"/>
          <w:marRight w:val="0"/>
          <w:marTop w:val="0"/>
          <w:marBottom w:val="0"/>
          <w:divBdr>
            <w:top w:val="none" w:sz="0" w:space="0" w:color="auto"/>
            <w:left w:val="none" w:sz="0" w:space="0" w:color="auto"/>
            <w:bottom w:val="none" w:sz="0" w:space="0" w:color="auto"/>
            <w:right w:val="none" w:sz="0" w:space="0" w:color="auto"/>
          </w:divBdr>
          <w:divsChild>
            <w:div w:id="1646660591">
              <w:marLeft w:val="0"/>
              <w:marRight w:val="0"/>
              <w:marTop w:val="0"/>
              <w:marBottom w:val="0"/>
              <w:divBdr>
                <w:top w:val="none" w:sz="0" w:space="0" w:color="auto"/>
                <w:left w:val="none" w:sz="0" w:space="0" w:color="auto"/>
                <w:bottom w:val="none" w:sz="0" w:space="0" w:color="auto"/>
                <w:right w:val="none" w:sz="0" w:space="0" w:color="auto"/>
              </w:divBdr>
              <w:divsChild>
                <w:div w:id="2007978653">
                  <w:marLeft w:val="0"/>
                  <w:marRight w:val="0"/>
                  <w:marTop w:val="0"/>
                  <w:marBottom w:val="0"/>
                  <w:divBdr>
                    <w:top w:val="none" w:sz="0" w:space="0" w:color="auto"/>
                    <w:left w:val="none" w:sz="0" w:space="0" w:color="auto"/>
                    <w:bottom w:val="none" w:sz="0" w:space="0" w:color="auto"/>
                    <w:right w:val="none" w:sz="0" w:space="0" w:color="auto"/>
                  </w:divBdr>
                  <w:divsChild>
                    <w:div w:id="21355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tr.ru/index.php?option=com_content&amp;view=article&amp;layout=edit&amp;id=166" TargetMode="External"/><Relationship Id="rId18" Type="http://schemas.openxmlformats.org/officeDocument/2006/relationships/hyperlink" Target="http://etstr.ru/index.php?option=com_content&amp;view=article&amp;layout=edit&amp;id=170" TargetMode="External"/><Relationship Id="rId26" Type="http://schemas.openxmlformats.org/officeDocument/2006/relationships/hyperlink" Target="http://etstr.ru/index.php?option=com_content&amp;view=article&amp;layout=edit&amp;id=175" TargetMode="External"/><Relationship Id="rId39" Type="http://schemas.openxmlformats.org/officeDocument/2006/relationships/hyperlink" Target="http://etstr.ru/index.php?option=com_content&amp;view=article&amp;layout=edit&amp;id=182" TargetMode="External"/><Relationship Id="rId21" Type="http://schemas.openxmlformats.org/officeDocument/2006/relationships/hyperlink" Target="http://etstr.ru/DOC/Zakupki/%D0%9F%D0%BE%D0%BB%D0%BE%D0%B6%D0%B5%D0%BD%D0%B8%D1%8F-%D0%BE-%D0%BA%D0%BE%D0%BC%D0%B8%D1%81%D1%81%D0%B8%D0%B8-%D0%BF%D0%BE-%D0%B7%D0%B0%D0%BA%D1%83%D0%BF%D0%BA%D0%B0%D0%BC.docx" TargetMode="External"/><Relationship Id="rId34" Type="http://schemas.openxmlformats.org/officeDocument/2006/relationships/hyperlink" Target="http://etstr.ru/index.php?option=com_content&amp;view=article&amp;layout=edit&amp;id=181" TargetMode="External"/><Relationship Id="rId42" Type="http://schemas.openxmlformats.org/officeDocument/2006/relationships/hyperlink" Target="http://etstr.ru/doc/11_g_1/2017/4%20%D0%BA%D0%B2%D0%B0%D1%80%D1%82%D0%B0%D0%BB%202017.pdf" TargetMode="External"/><Relationship Id="rId47" Type="http://schemas.openxmlformats.org/officeDocument/2006/relationships/hyperlink" Target="http://etstr.ru/doc/9_g_2017/9%D0%B3).xls" TargetMode="External"/><Relationship Id="rId50" Type="http://schemas.openxmlformats.org/officeDocument/2006/relationships/hyperlink" Target="http://etstr.ru/index.php?option=com_content&amp;view=article&amp;layout=edit&amp;id=193" TargetMode="External"/><Relationship Id="rId55" Type="http://schemas.openxmlformats.org/officeDocument/2006/relationships/hyperlink" Target="http://etstr.ru/index.php?option=com_content&amp;view=article&amp;layout=edit&amp;id=197" TargetMode="External"/><Relationship Id="rId7" Type="http://schemas.openxmlformats.org/officeDocument/2006/relationships/hyperlink" Target="http://etstr.ru/index.php?option=com_content&amp;view=article&amp;layout=edit&amp;id=160" TargetMode="External"/><Relationship Id="rId12" Type="http://schemas.openxmlformats.org/officeDocument/2006/relationships/hyperlink" Target="http://etstr.ru/index.php?option=com_content&amp;view=article&amp;layout=edit&amp;id=165" TargetMode="External"/><Relationship Id="rId17" Type="http://schemas.openxmlformats.org/officeDocument/2006/relationships/hyperlink" Target="http://etstr.ru/index.php?option=com_content&amp;view=article&amp;layout=edit&amp;id=169" TargetMode="External"/><Relationship Id="rId25" Type="http://schemas.openxmlformats.org/officeDocument/2006/relationships/hyperlink" Target="http://etstr.ru/index.php?option=com_content&amp;view=article&amp;layout=edit&amp;id=174" TargetMode="External"/><Relationship Id="rId33" Type="http://schemas.openxmlformats.org/officeDocument/2006/relationships/hyperlink" Target="http://etstr.ru/doc/11_g_12_2017/11_j_12.docx" TargetMode="External"/><Relationship Id="rId38" Type="http://schemas.openxmlformats.org/officeDocument/2006/relationships/hyperlink" Target="http://etstr.ru/doc/11_g_17_2017/11_j_17.docx" TargetMode="External"/><Relationship Id="rId46" Type="http://schemas.openxmlformats.org/officeDocument/2006/relationships/hyperlink" Target="http://etstr.ru/index.php/2018-11-14-08-10-54/2018-11-14-08-13-35"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tstr.ru/index.php?option=com_content&amp;view=article&amp;layout=edit&amp;id=168" TargetMode="External"/><Relationship Id="rId20" Type="http://schemas.openxmlformats.org/officeDocument/2006/relationships/hyperlink" Target="http://etstr.ru/doc/11_b_14_2017/11%20%D0%B1.%2014.xlsx" TargetMode="External"/><Relationship Id="rId29" Type="http://schemas.openxmlformats.org/officeDocument/2006/relationships/hyperlink" Target="http://etstr.ru/index.php?option=com_content&amp;view=article&amp;layout=edit&amp;id=200" TargetMode="External"/><Relationship Id="rId41" Type="http://schemas.openxmlformats.org/officeDocument/2006/relationships/hyperlink" Target="http://etstr.ru/index.php?option=com_content&amp;view=article&amp;layout=edit&amp;id=184" TargetMode="External"/><Relationship Id="rId54" Type="http://schemas.openxmlformats.org/officeDocument/2006/relationships/hyperlink" Target="http://etstr.ru/elektro.html" TargetMode="External"/><Relationship Id="rId1" Type="http://schemas.openxmlformats.org/officeDocument/2006/relationships/styles" Target="styles.xml"/><Relationship Id="rId6" Type="http://schemas.openxmlformats.org/officeDocument/2006/relationships/hyperlink" Target="http://etstr.ru/doc/tarif/%D0%9F%D0%BE%D1%81%D1%82%D0%B0%D0%BD%D0%BE%D0%B2%D0%BB%D0%B5%D0%BD%D0%B8%D0%B5%20%D0%9C%D0%A2%D0%A0%D0%B8%D0%AD%20%D0%BE%D1%82%2027.12.2016%20%E2%84%96%2065%201%20%D0%BF%D0%BE%20%D1%82%D0%B5%D1%85%20%D0%BF%D1%80%D0%B8%D1%81%D0%BE%D0%B5%D0%B4%D0%B8%D0%BD%D0%B5%D0%BD%D0%B8%D1%8F%D0%BC%20%D0%BD%D0%B0%202017%D0%B3.pdf" TargetMode="External"/><Relationship Id="rId11" Type="http://schemas.openxmlformats.org/officeDocument/2006/relationships/hyperlink" Target="http://etstr.ru/index.php?option=com_content&amp;view=article&amp;layout=edit&amp;id=164" TargetMode="External"/><Relationship Id="rId24" Type="http://schemas.openxmlformats.org/officeDocument/2006/relationships/hyperlink" Target="http://etstr.ru/index.php?option=com_content&amp;view=article&amp;layout=edit&amp;id=173" TargetMode="External"/><Relationship Id="rId32" Type="http://schemas.openxmlformats.org/officeDocument/2006/relationships/hyperlink" Target="http://etstr.ru/index.php?option=com_content&amp;view=article&amp;layout=edit&amp;id=180" TargetMode="External"/><Relationship Id="rId37" Type="http://schemas.openxmlformats.org/officeDocument/2006/relationships/hyperlink" Target="http://etstr.ru/doc/11_g_16_2017/11_j_16.docx" TargetMode="External"/><Relationship Id="rId40" Type="http://schemas.openxmlformats.org/officeDocument/2006/relationships/hyperlink" Target="http://etstr.ru/index.php?option=com_content&amp;view=article&amp;layout=edit&amp;id=183" TargetMode="External"/><Relationship Id="rId45" Type="http://schemas.openxmlformats.org/officeDocument/2006/relationships/hyperlink" Target="http://etstr.ru/doc/11_L_2017/11%20%D0%BB)%20%20%D0%BE%20%D0%BA%D0%B0%D1%87%D0%B5%D1%81%D1%82%D0%B2%D0%B5%20%D0%BE%D0%B1%D1%81%D0%BB%D1%83%D0%B6%D0%B8%D0%B2%D0%B0%D0%BD%D0%B8%D1%8F%20%D0%B7%D0%B0%202016.xlsx" TargetMode="External"/><Relationship Id="rId53" Type="http://schemas.openxmlformats.org/officeDocument/2006/relationships/hyperlink" Target="http://etstr.ru/index.php?option=com_content&amp;view=article&amp;layout=edit&amp;id=196" TargetMode="External"/><Relationship Id="rId58" Type="http://schemas.openxmlformats.org/officeDocument/2006/relationships/fontTable" Target="fontTable.xml"/><Relationship Id="rId5" Type="http://schemas.openxmlformats.org/officeDocument/2006/relationships/hyperlink" Target="http://etstr.ru/doc/tarif/2017/%D0%9F%D0%BE%D1%81%D1%82%D0%B0%D0%BD%D0%BE%D0%B2%D0%BB%D0%B5%D0%BD%D0%B8%D0%B5%20%D0%9C%D0%A2%D0%A0%D0%B8%D0%AD%20%E2%84%96%2065%205%2027.12.2016%20%D0%BF%D0%B5%D1%80%D0%B5%D0%B4%D0%B0%D1%87%D0%B0%20%D1%8D%D0%BB%D0%B5%D0%BA%D1%82%D1%80%D0%BE%D1%8D%D0%BD%D0%B5%D1%80%D0%B3%D0%B8%D0%B8.pdf" TargetMode="External"/><Relationship Id="rId15" Type="http://schemas.openxmlformats.org/officeDocument/2006/relationships/hyperlink" Target="http://etstr.ru/index.php?option=com_content&amp;view=article&amp;layout=edit&amp;id=167" TargetMode="External"/><Relationship Id="rId23" Type="http://schemas.openxmlformats.org/officeDocument/2006/relationships/hyperlink" Target="http://etstr.ru/doc/11_g_2_2017/11%20%D0%B6%202.docx" TargetMode="External"/><Relationship Id="rId28" Type="http://schemas.openxmlformats.org/officeDocument/2006/relationships/hyperlink" Target="http://etstr.ru/index.php?option=com_content&amp;view=article&amp;layout=edit&amp;id=177" TargetMode="External"/><Relationship Id="rId36" Type="http://schemas.openxmlformats.org/officeDocument/2006/relationships/hyperlink" Target="http://etstr.ru/doc/11_g_15_2017/11_g_15_2017.rar" TargetMode="External"/><Relationship Id="rId49" Type="http://schemas.openxmlformats.org/officeDocument/2006/relationships/hyperlink" Target="http://etstr.ru/index.php?option=com_content&amp;view=article&amp;layout=edit&amp;id=192" TargetMode="External"/><Relationship Id="rId57" Type="http://schemas.openxmlformats.org/officeDocument/2006/relationships/hyperlink" Target="http://etstr.ru/index.php?option=com_content&amp;view=article&amp;layout=edit&amp;id=199" TargetMode="External"/><Relationship Id="rId10" Type="http://schemas.openxmlformats.org/officeDocument/2006/relationships/hyperlink" Target="http://etstr.ru/index.php?option=com_content&amp;view=article&amp;layout=edit&amp;id=163" TargetMode="External"/><Relationship Id="rId19" Type="http://schemas.openxmlformats.org/officeDocument/2006/relationships/hyperlink" Target="http://etstr.ru/index.php?option=com_content&amp;view=article&amp;layout=edit&amp;id=171" TargetMode="External"/><Relationship Id="rId31" Type="http://schemas.openxmlformats.org/officeDocument/2006/relationships/hyperlink" Target="http://etstr.ru/index.php?option=com_content&amp;view=article&amp;layout=edit&amp;id=179" TargetMode="External"/><Relationship Id="rId44" Type="http://schemas.openxmlformats.org/officeDocument/2006/relationships/hyperlink" Target="http://etstr.ru/doc/9_b_2017/9%D0%B1).xlsx" TargetMode="External"/><Relationship Id="rId52" Type="http://schemas.openxmlformats.org/officeDocument/2006/relationships/hyperlink" Target="http://etstr.ru/index.php?option=com_content&amp;view=article&amp;layout=edit&amp;id=195" TargetMode="External"/><Relationship Id="rId4" Type="http://schemas.openxmlformats.org/officeDocument/2006/relationships/webSettings" Target="webSettings.xml"/><Relationship Id="rId9" Type="http://schemas.openxmlformats.org/officeDocument/2006/relationships/hyperlink" Target="http://etstr.ru/index.php?option=com_content&amp;view=article&amp;layout=edit&amp;id=162" TargetMode="External"/><Relationship Id="rId14" Type="http://schemas.openxmlformats.org/officeDocument/2006/relationships/hyperlink" Target="http://etstr.ru/doc/11_b_8_2017/prokaz%20fac.pdf" TargetMode="External"/><Relationship Id="rId22" Type="http://schemas.openxmlformats.org/officeDocument/2006/relationships/hyperlink" Target="http://etstr.ru/index.php?option=com_content&amp;view=article&amp;layout=edit&amp;id=172" TargetMode="External"/><Relationship Id="rId27" Type="http://schemas.openxmlformats.org/officeDocument/2006/relationships/hyperlink" Target="http://etstr.ru/index.php?option=com_content&amp;view=article&amp;layout=edit&amp;id=176" TargetMode="External"/><Relationship Id="rId30" Type="http://schemas.openxmlformats.org/officeDocument/2006/relationships/hyperlink" Target="http://etstr.ru/index.php?option=com_content&amp;view=article&amp;layout=edit&amp;id=178" TargetMode="External"/><Relationship Id="rId35" Type="http://schemas.openxmlformats.org/officeDocument/2006/relationships/hyperlink" Target="http://etstr.ru/doc/11_g_14_2017/11_g_14_2017.rar" TargetMode="External"/><Relationship Id="rId43" Type="http://schemas.openxmlformats.org/officeDocument/2006/relationships/hyperlink" Target="http://etstr.ru/doc/11_g_1/2017/%D0%B3%D0%BE%D0%B4%202017.pdf" TargetMode="External"/><Relationship Id="rId48" Type="http://schemas.openxmlformats.org/officeDocument/2006/relationships/hyperlink" Target="http://etstr.ru/index.php?option=com_content&amp;view=article&amp;layout=edit&amp;id=201" TargetMode="External"/><Relationship Id="rId56" Type="http://schemas.openxmlformats.org/officeDocument/2006/relationships/hyperlink" Target="http://etstr.ru/index.php?option=com_content&amp;view=article&amp;layout=edit&amp;id=198" TargetMode="External"/><Relationship Id="rId8" Type="http://schemas.openxmlformats.org/officeDocument/2006/relationships/hyperlink" Target="http://etstr.ru/index.php?option=com_content&amp;view=article&amp;layout=edit&amp;id=161" TargetMode="External"/><Relationship Id="rId51" Type="http://schemas.openxmlformats.org/officeDocument/2006/relationships/hyperlink" Target="http://etstr.ru/index.php?option=com_content&amp;view=article&amp;layout=edit&amp;id=19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6159</Words>
  <Characters>35110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2018-12-25T05:19:00Z</dcterms:created>
  <dcterms:modified xsi:type="dcterms:W3CDTF">2019-02-26T06:22:00Z</dcterms:modified>
</cp:coreProperties>
</file>