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6B" w:rsidRPr="00562D6B" w:rsidRDefault="00562D6B" w:rsidP="00562D6B">
      <w:pPr>
        <w:spacing w:before="100" w:beforeAutospacing="1" w:after="100" w:afterAutospacing="1"/>
        <w:jc w:val="both"/>
        <w:rPr>
          <w:rFonts w:ascii="Times New Roman" w:hAnsi="Times New Roman" w:cs="Times New Roman"/>
          <w:color w:val="333333"/>
          <w:sz w:val="28"/>
          <w:szCs w:val="28"/>
        </w:rPr>
      </w:pPr>
      <w:r w:rsidRPr="00562D6B">
        <w:rPr>
          <w:rFonts w:ascii="Times New Roman" w:hAnsi="Times New Roman" w:cs="Times New Roman"/>
          <w:color w:val="000000"/>
          <w:sz w:val="28"/>
          <w:szCs w:val="28"/>
          <w:shd w:val="clear" w:color="auto" w:fill="FFFFFF"/>
        </w:rPr>
        <w:t>В соо</w:t>
      </w:r>
      <w:bookmarkStart w:id="0" w:name="_GoBack"/>
      <w:bookmarkEnd w:id="0"/>
      <w:r w:rsidRPr="00562D6B">
        <w:rPr>
          <w:rFonts w:ascii="Times New Roman" w:hAnsi="Times New Roman" w:cs="Times New Roman"/>
          <w:color w:val="000000"/>
          <w:sz w:val="28"/>
          <w:szCs w:val="28"/>
          <w:shd w:val="clear" w:color="auto" w:fill="FFFFFF"/>
        </w:rPr>
        <w:t>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tbl>
      <w:tblPr>
        <w:tblW w:w="15466" w:type="dxa"/>
        <w:tblBorders>
          <w:top w:val="dashed" w:sz="6" w:space="0" w:color="BBBBBB"/>
          <w:left w:val="dashed" w:sz="6" w:space="0" w:color="BBBBBB"/>
          <w:bottom w:val="dashed" w:sz="6" w:space="0" w:color="BBBBBB"/>
          <w:right w:val="dashed" w:sz="6" w:space="0" w:color="BBBBBB"/>
        </w:tblBorders>
        <w:shd w:val="clear" w:color="auto" w:fill="FEFFFF"/>
        <w:tblCellMar>
          <w:left w:w="0" w:type="dxa"/>
          <w:right w:w="0" w:type="dxa"/>
        </w:tblCellMar>
        <w:tblLook w:val="04A0" w:firstRow="1" w:lastRow="0" w:firstColumn="1" w:lastColumn="0" w:noHBand="0" w:noVBand="1"/>
      </w:tblPr>
      <w:tblGrid>
        <w:gridCol w:w="848"/>
        <w:gridCol w:w="1291"/>
        <w:gridCol w:w="802"/>
        <w:gridCol w:w="3347"/>
        <w:gridCol w:w="6371"/>
        <w:gridCol w:w="2807"/>
      </w:tblGrid>
      <w:tr w:rsidR="00562D6B" w:rsidRPr="00562D6B" w:rsidTr="00562D6B">
        <w:trPr>
          <w:trHeight w:val="300"/>
        </w:trPr>
        <w:tc>
          <w:tcPr>
            <w:tcW w:w="2947" w:type="dxa"/>
            <w:gridSpan w:val="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Постановление № 24</w:t>
            </w:r>
          </w:p>
        </w:tc>
        <w:tc>
          <w:tcPr>
            <w:tcW w:w="3355" w:type="dxa"/>
            <w:vMerge w:val="restart"/>
            <w:tcBorders>
              <w:top w:val="single" w:sz="8" w:space="0" w:color="auto"/>
              <w:left w:val="nil"/>
              <w:bottom w:val="double" w:sz="6" w:space="0" w:color="000000"/>
              <w:right w:val="single" w:sz="8" w:space="0" w:color="auto"/>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Периодичность и срок раскрытия информации</w:t>
            </w:r>
          </w:p>
        </w:tc>
        <w:tc>
          <w:tcPr>
            <w:tcW w:w="7153" w:type="dxa"/>
            <w:vMerge w:val="restart"/>
            <w:tcBorders>
              <w:top w:val="single" w:sz="8" w:space="0" w:color="auto"/>
              <w:left w:val="nil"/>
              <w:bottom w:val="double" w:sz="6" w:space="0" w:color="000000"/>
              <w:right w:val="single" w:sz="8" w:space="0" w:color="auto"/>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Содержание</w:t>
            </w:r>
          </w:p>
        </w:tc>
        <w:tc>
          <w:tcPr>
            <w:tcW w:w="2011" w:type="dxa"/>
            <w:vMerge w:val="restart"/>
            <w:tcBorders>
              <w:top w:val="single" w:sz="8" w:space="0" w:color="auto"/>
              <w:left w:val="nil"/>
              <w:bottom w:val="double" w:sz="6" w:space="0" w:color="000000"/>
              <w:right w:val="single" w:sz="8" w:space="0" w:color="auto"/>
            </w:tcBorders>
            <w:shd w:val="clear" w:color="auto" w:fill="FFFF99"/>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Ссылка для скачивания документа</w:t>
            </w:r>
          </w:p>
        </w:tc>
      </w:tr>
      <w:tr w:rsidR="00562D6B" w:rsidRPr="00562D6B" w:rsidTr="00562D6B">
        <w:trPr>
          <w:trHeight w:val="945"/>
        </w:trPr>
        <w:tc>
          <w:tcPr>
            <w:tcW w:w="847" w:type="dxa"/>
            <w:tcBorders>
              <w:top w:val="nil"/>
              <w:left w:val="single" w:sz="8" w:space="0" w:color="auto"/>
              <w:bottom w:val="double" w:sz="6" w:space="0" w:color="auto"/>
              <w:right w:val="single" w:sz="8" w:space="0" w:color="auto"/>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Пункт</w:t>
            </w:r>
          </w:p>
        </w:tc>
        <w:tc>
          <w:tcPr>
            <w:tcW w:w="1290" w:type="dxa"/>
            <w:tcBorders>
              <w:top w:val="nil"/>
              <w:left w:val="nil"/>
              <w:bottom w:val="double" w:sz="6"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Подпункт</w:t>
            </w:r>
          </w:p>
        </w:tc>
        <w:tc>
          <w:tcPr>
            <w:tcW w:w="810" w:type="dxa"/>
            <w:tcBorders>
              <w:top w:val="nil"/>
              <w:left w:val="single" w:sz="8" w:space="0" w:color="auto"/>
              <w:bottom w:val="double" w:sz="6"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00"/>
                <w:sz w:val="28"/>
                <w:szCs w:val="28"/>
              </w:rPr>
              <w:t>Абзац</w:t>
            </w:r>
          </w:p>
        </w:tc>
        <w:tc>
          <w:tcPr>
            <w:tcW w:w="0" w:type="auto"/>
            <w:vMerge/>
            <w:tcBorders>
              <w:top w:val="single" w:sz="8" w:space="0" w:color="auto"/>
              <w:left w:val="nil"/>
              <w:bottom w:val="double" w:sz="6"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0" w:type="auto"/>
            <w:vMerge/>
            <w:tcBorders>
              <w:top w:val="single" w:sz="8" w:space="0" w:color="auto"/>
              <w:left w:val="nil"/>
              <w:bottom w:val="double" w:sz="6"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2011" w:type="dxa"/>
            <w:vMerge/>
            <w:tcBorders>
              <w:top w:val="single" w:sz="8" w:space="0" w:color="auto"/>
              <w:left w:val="nil"/>
              <w:bottom w:val="double" w:sz="6"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253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а</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ежегодно, до 1 марта</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w:t>
            </w:r>
            <w:r w:rsidRPr="00562D6B">
              <w:rPr>
                <w:rFonts w:ascii="Times New Roman" w:hAnsi="Times New Roman" w:cs="Times New Roman"/>
                <w:color w:val="FF0000"/>
                <w:sz w:val="28"/>
                <w:szCs w:val="28"/>
              </w:rPr>
              <w:t>план 2016 г.</w:t>
            </w:r>
            <w:r w:rsidRPr="00562D6B">
              <w:rPr>
                <w:rFonts w:ascii="Times New Roman" w:hAnsi="Times New Roman" w:cs="Times New Roman"/>
                <w:color w:val="000000"/>
                <w:sz w:val="28"/>
                <w:szCs w:val="28"/>
              </w:rPr>
              <w:t>)</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а. 1)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5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11б.1)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6"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7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11б.2)о балансе электрической энергии и мощности;</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7"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47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3</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11б.3)об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8"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5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4</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11б.4)об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9"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26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5</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11б.5)о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0"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6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6</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11б.6)о затратах на оплату потерь, в том числе:</w:t>
            </w:r>
          </w:p>
        </w:tc>
        <w:tc>
          <w:tcPr>
            <w:tcW w:w="2011"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1"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6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7</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11б.7)о затратах сетевой организации на покупку потерь в собственных сетях;</w:t>
            </w:r>
          </w:p>
        </w:tc>
        <w:tc>
          <w:tcPr>
            <w:tcW w:w="2011" w:type="dxa"/>
            <w:tcBorders>
              <w:top w:val="single" w:sz="8" w:space="0" w:color="auto"/>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2"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2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8</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11б.8)об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3"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9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9</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б.9)о перечне мероприятий по снижению размеров потерь в сетях, а также о сроках их исполнения и источниках финансирования;</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4"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10</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б.10)о закупке сетевыми организациями электрической энергии для компенсации потерь в сетях и ее стоимости;</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5"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94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б.11)о размере фактических потерь, оплачиваемых покупателями при осуществлении расчетов за электрическую энергию по уровням напряжения;</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6"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8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б.12)о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7"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4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13</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б.13) о техническом состоянии сетей, в том числе:</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8"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273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14</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11б.14)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19"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645"/>
        </w:trPr>
        <w:tc>
          <w:tcPr>
            <w:tcW w:w="0" w:type="auto"/>
            <w:tcBorders>
              <w:top w:val="single" w:sz="8" w:space="0" w:color="auto"/>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single" w:sz="8" w:space="0" w:color="auto"/>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д</w:t>
            </w:r>
          </w:p>
        </w:tc>
        <w:tc>
          <w:tcPr>
            <w:tcW w:w="810" w:type="dxa"/>
            <w:tcBorders>
              <w:top w:val="single" w:sz="8" w:space="0" w:color="auto"/>
              <w:left w:val="nil"/>
              <w:bottom w:val="nil"/>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333333"/>
                <w:sz w:val="28"/>
                <w:szCs w:val="28"/>
              </w:rPr>
              <w:t xml:space="preserve">В отношении подстанций и распределительных </w:t>
            </w:r>
            <w:r w:rsidRPr="00562D6B">
              <w:rPr>
                <w:rFonts w:ascii="Times New Roman" w:hAnsi="Times New Roman" w:cs="Times New Roman"/>
                <w:b/>
                <w:bCs/>
                <w:color w:val="333333"/>
                <w:sz w:val="28"/>
                <w:szCs w:val="28"/>
              </w:rPr>
              <w:lastRenderedPageBreak/>
              <w:t>пунктов напряжением 35 кВ и выше:</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 </w:t>
            </w:r>
          </w:p>
        </w:tc>
      </w:tr>
      <w:tr w:rsidR="00562D6B" w:rsidRPr="00562D6B" w:rsidTr="00562D6B">
        <w:trPr>
          <w:trHeight w:val="337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д) об условиях, на которых осуществляется </w:t>
            </w:r>
            <w:r w:rsidRPr="00562D6B">
              <w:rPr>
                <w:rFonts w:ascii="Times New Roman" w:hAnsi="Times New Roman" w:cs="Times New Roman"/>
                <w:b/>
                <w:bCs/>
                <w:color w:val="333333"/>
                <w:sz w:val="28"/>
                <w:szCs w:val="28"/>
              </w:rPr>
              <w:t>поставка</w:t>
            </w:r>
            <w:r w:rsidRPr="00562D6B">
              <w:rPr>
                <w:rFonts w:ascii="Times New Roman" w:hAnsi="Times New Roman" w:cs="Times New Roman"/>
                <w:color w:val="333333"/>
                <w:sz w:val="28"/>
                <w:szCs w:val="28"/>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Оборудование данного уровня отсутствует</w:t>
            </w:r>
          </w:p>
        </w:tc>
      </w:tr>
      <w:tr w:rsidR="00562D6B" w:rsidRPr="00562D6B" w:rsidTr="00562D6B">
        <w:trPr>
          <w:trHeight w:val="9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ж.1)об инвестиционных программах (о проектах инвестиционных программ) и отчетах об их реализации, включая:</w:t>
            </w:r>
          </w:p>
        </w:tc>
        <w:tc>
          <w:tcPr>
            <w:tcW w:w="2011"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0"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09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11ж.2)отчеты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w:t>
            </w:r>
            <w:r w:rsidRPr="00562D6B">
              <w:rPr>
                <w:rFonts w:ascii="Times New Roman" w:hAnsi="Times New Roman" w:cs="Times New Roman"/>
                <w:color w:val="333333"/>
                <w:sz w:val="28"/>
                <w:szCs w:val="28"/>
              </w:rPr>
              <w:lastRenderedPageBreak/>
              <w:t>исполнительной власти;</w:t>
            </w:r>
          </w:p>
        </w:tc>
        <w:tc>
          <w:tcPr>
            <w:tcW w:w="2011" w:type="dxa"/>
            <w:tcBorders>
              <w:top w:val="single" w:sz="8" w:space="0" w:color="auto"/>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1"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33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3</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single" w:sz="8" w:space="0" w:color="auto"/>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11ж.3) планы капитальных вложений и планы капитального ремонта (инвестиционные программы), касающиеся реконструкции и развития эл/сетей, согласованные в порядке, установленном Правительством РФ с указанием:</w:t>
            </w:r>
          </w:p>
        </w:tc>
        <w:tc>
          <w:tcPr>
            <w:tcW w:w="2011" w:type="dxa"/>
            <w:vMerge w:val="restart"/>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2"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42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-характеристик сетевого оборудования;</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294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 же основные проектные характеристики. Для объектов долгосрочных финансовых вложений так же указывается стоимостная оценка инвестиций в целом по объекту </w:t>
            </w:r>
            <w:r w:rsidRPr="00562D6B">
              <w:rPr>
                <w:rFonts w:ascii="Times New Roman" w:hAnsi="Times New Roman" w:cs="Times New Roman"/>
                <w:color w:val="333333"/>
                <w:sz w:val="28"/>
                <w:szCs w:val="28"/>
              </w:rPr>
              <w:lastRenderedPageBreak/>
              <w:t>и за рассматриваемый календарный год);</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4</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3"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5</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 результаты расчетов объемов финансовых потребностей, необходимых для строительства объектов электроэнергетики, выполненных в соответствии с укрупненными нормативами цены </w:t>
            </w:r>
            <w:r w:rsidRPr="00562D6B">
              <w:rPr>
                <w:rFonts w:ascii="Times New Roman" w:hAnsi="Times New Roman" w:cs="Times New Roman"/>
                <w:color w:val="333333"/>
                <w:sz w:val="28"/>
                <w:szCs w:val="28"/>
              </w:rPr>
              <w:lastRenderedPageBreak/>
              <w:t>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4"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6</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5"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7</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 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w:t>
            </w:r>
            <w:r w:rsidRPr="00562D6B">
              <w:rPr>
                <w:rFonts w:ascii="Times New Roman" w:hAnsi="Times New Roman" w:cs="Times New Roman"/>
                <w:color w:val="333333"/>
                <w:sz w:val="28"/>
                <w:szCs w:val="28"/>
              </w:rPr>
              <w:lastRenderedPageBreak/>
              <w:t>инвестиционной программы) и отчетных показателей исполнения финансового плана субъекта электроэнергетики за предыдущий и текущий годы;</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6"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8*</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7"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9</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11(8) настоящего документа;</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8"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10*</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 значения целевых показателей для целей формирования инвестиционной программы, установленные в порядке, утвержденном </w:t>
            </w:r>
            <w:r w:rsidRPr="00562D6B">
              <w:rPr>
                <w:rFonts w:ascii="Times New Roman" w:hAnsi="Times New Roman" w:cs="Times New Roman"/>
                <w:color w:val="333333"/>
                <w:sz w:val="28"/>
                <w:szCs w:val="28"/>
              </w:rPr>
              <w:lastRenderedPageBreak/>
              <w:t>Министерством энергетики Российской Федерации;</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29"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0"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12</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1"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13</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w:t>
            </w:r>
            <w:r w:rsidRPr="00562D6B">
              <w:rPr>
                <w:rFonts w:ascii="Times New Roman" w:hAnsi="Times New Roman" w:cs="Times New Roman"/>
                <w:color w:val="333333"/>
                <w:sz w:val="28"/>
                <w:szCs w:val="28"/>
              </w:rPr>
              <w:lastRenderedPageBreak/>
              <w:t>раскрытия такой информации в соответствии с пунктом 12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2"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14</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3"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15</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4"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16</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r w:rsidRPr="00562D6B">
              <w:rPr>
                <w:rFonts w:ascii="Times New Roman" w:hAnsi="Times New Roman" w:cs="Times New Roman"/>
                <w:color w:val="333333"/>
                <w:sz w:val="28"/>
                <w:szCs w:val="28"/>
              </w:rPr>
              <w:lastRenderedPageBreak/>
              <w:t>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5"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59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17</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br/>
              <w:t xml:space="preserve"> * Формы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информации,раскрываются согласно приложениям N 1 - 19 к Приказу Минэнерго России от 05.05.2016 N 380 "Об утверждении форм раскрытия сетевой организацией информации об инвестиционной </w:t>
            </w:r>
            <w:r w:rsidRPr="00562D6B">
              <w:rPr>
                <w:rFonts w:ascii="Times New Roman" w:hAnsi="Times New Roman" w:cs="Times New Roman"/>
                <w:color w:val="333333"/>
                <w:sz w:val="28"/>
                <w:szCs w:val="28"/>
              </w:rPr>
              <w:lastRenderedPageBreak/>
              <w:t>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(далее-Приказ Минэнерго № 380);</w:t>
            </w:r>
            <w:r w:rsidRPr="00562D6B">
              <w:rPr>
                <w:rFonts w:ascii="Times New Roman" w:hAnsi="Times New Roman" w:cs="Times New Roman"/>
                <w:color w:val="333333"/>
                <w:sz w:val="28"/>
                <w:szCs w:val="28"/>
              </w:rPr>
              <w:br/>
              <w:t xml:space="preserve">Правила заполнения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 раскрываются согласно приложению N 20 к </w:t>
            </w:r>
            <w:r w:rsidRPr="00562D6B">
              <w:rPr>
                <w:rFonts w:ascii="Times New Roman" w:hAnsi="Times New Roman" w:cs="Times New Roman"/>
                <w:color w:val="333333"/>
                <w:sz w:val="28"/>
                <w:szCs w:val="28"/>
              </w:rPr>
              <w:lastRenderedPageBreak/>
              <w:t>Приказу Минэнерго № 380;</w:t>
            </w:r>
            <w:r w:rsidRPr="00562D6B">
              <w:rPr>
                <w:rFonts w:ascii="Times New Roman" w:hAnsi="Times New Roman" w:cs="Times New Roman"/>
                <w:color w:val="333333"/>
                <w:sz w:val="28"/>
                <w:szCs w:val="28"/>
              </w:rPr>
              <w:br/>
              <w:t>Требования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раскрываются согласно приложению N 21 к Приказу Минэнерго № 380.</w:t>
            </w:r>
          </w:p>
        </w:tc>
        <w:tc>
          <w:tcPr>
            <w:tcW w:w="201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6"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24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ж</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w:t>
            </w:r>
          </w:p>
        </w:tc>
        <w:tc>
          <w:tcPr>
            <w:tcW w:w="3355" w:type="dxa"/>
            <w:vMerge w:val="restart"/>
            <w:tcBorders>
              <w:top w:val="single" w:sz="8" w:space="0" w:color="auto"/>
              <w:left w:val="single" w:sz="8" w:space="0" w:color="auto"/>
              <w:bottom w:val="single" w:sz="8" w:space="0" w:color="000000"/>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ежегодно, до 1 апреля по результатам исполнения инвестиционной программы за предыдущий календарный год</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w:t>
            </w:r>
            <w:r w:rsidRPr="00562D6B">
              <w:rPr>
                <w:rFonts w:ascii="Times New Roman" w:hAnsi="Times New Roman" w:cs="Times New Roman"/>
                <w:b/>
                <w:bCs/>
                <w:color w:val="FF0000"/>
                <w:sz w:val="28"/>
                <w:szCs w:val="28"/>
              </w:rPr>
              <w:t>факт 2015 года</w:t>
            </w:r>
            <w:r w:rsidRPr="00562D6B">
              <w:rPr>
                <w:rFonts w:ascii="Times New Roman" w:hAnsi="Times New Roman" w:cs="Times New Roman"/>
                <w:color w:val="000000"/>
                <w:sz w:val="28"/>
                <w:szCs w:val="28"/>
              </w:rPr>
              <w:t>)</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ежеквартально не позднее 45 дней после окончания отчетного квартала</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ж(1)) об отчетах о реализации инвестиционной программы и об обосновывающих их материалах, включая:</w:t>
            </w:r>
          </w:p>
        </w:tc>
        <w:tc>
          <w:tcPr>
            <w:tcW w:w="2011" w:type="dxa"/>
            <w:tcBorders>
              <w:top w:val="nil"/>
              <w:left w:val="single" w:sz="8" w:space="0" w:color="auto"/>
              <w:bottom w:val="nil"/>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7" w:history="1">
              <w:r w:rsidRPr="00562D6B">
                <w:rPr>
                  <w:rStyle w:val="a3"/>
                  <w:rFonts w:ascii="Times New Roman" w:hAnsi="Times New Roman" w:cs="Times New Roman"/>
                  <w:color w:val="090084"/>
                  <w:sz w:val="28"/>
                  <w:szCs w:val="28"/>
                  <w:u w:val="none"/>
                </w:rPr>
                <w:t>Ссылка</w:t>
              </w:r>
            </w:hyperlink>
          </w:p>
        </w:tc>
      </w:tr>
      <w:tr w:rsidR="00562D6B" w:rsidRPr="00562D6B" w:rsidTr="00562D6B">
        <w:tc>
          <w:tcPr>
            <w:tcW w:w="847" w:type="dxa"/>
            <w:tcBorders>
              <w:top w:val="nil"/>
              <w:left w:val="single" w:sz="8" w:space="0" w:color="auto"/>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1290" w:type="dxa"/>
            <w:tcBorders>
              <w:top w:val="nil"/>
              <w:left w:val="nil"/>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nil"/>
              <w:bottom w:val="single" w:sz="8" w:space="0" w:color="000000"/>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single" w:sz="8" w:space="0" w:color="auto"/>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7153" w:type="dxa"/>
            <w:tcBorders>
              <w:top w:val="nil"/>
              <w:left w:val="nil"/>
              <w:bottom w:val="single" w:sz="8" w:space="0" w:color="000000"/>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отчет о реализации инвестиционной программы, сформированный с распределением по перечням инвестиционных проектов, с указанием фактических:</w:t>
            </w:r>
            <w:r w:rsidRPr="00562D6B">
              <w:rPr>
                <w:rFonts w:ascii="Times New Roman" w:hAnsi="Times New Roman" w:cs="Times New Roman"/>
                <w:color w:val="333333"/>
                <w:sz w:val="28"/>
                <w:szCs w:val="28"/>
              </w:rPr>
              <w:br/>
              <w:t>-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sidRPr="00562D6B">
              <w:rPr>
                <w:rFonts w:ascii="Times New Roman" w:hAnsi="Times New Roman" w:cs="Times New Roman"/>
                <w:color w:val="333333"/>
                <w:sz w:val="28"/>
                <w:szCs w:val="28"/>
              </w:rPr>
              <w:br/>
              <w:t>- 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562D6B">
              <w:rPr>
                <w:rFonts w:ascii="Times New Roman" w:hAnsi="Times New Roman" w:cs="Times New Roman"/>
                <w:color w:val="333333"/>
                <w:sz w:val="28"/>
                <w:szCs w:val="28"/>
              </w:rPr>
              <w:br/>
              <w:t xml:space="preserve">- объемов ввода объектов основных средств в </w:t>
            </w:r>
            <w:r w:rsidRPr="00562D6B">
              <w:rPr>
                <w:rFonts w:ascii="Times New Roman" w:hAnsi="Times New Roman" w:cs="Times New Roman"/>
                <w:color w:val="333333"/>
                <w:sz w:val="28"/>
                <w:szCs w:val="28"/>
              </w:rPr>
              <w:lastRenderedPageBreak/>
              <w:t>натуральном и стоимостном выражении по инвестиционным проектам инвестиционной программы;</w:t>
            </w:r>
            <w:r w:rsidRPr="00562D6B">
              <w:rPr>
                <w:rFonts w:ascii="Times New Roman" w:hAnsi="Times New Roman" w:cs="Times New Roman"/>
                <w:color w:val="333333"/>
                <w:sz w:val="28"/>
                <w:szCs w:val="28"/>
              </w:rPr>
              <w:br/>
              <w:t>-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sidRPr="00562D6B">
              <w:rPr>
                <w:rFonts w:ascii="Times New Roman" w:hAnsi="Times New Roman" w:cs="Times New Roman"/>
                <w:color w:val="333333"/>
                <w:sz w:val="28"/>
                <w:szCs w:val="28"/>
              </w:rPr>
              <w:b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sidRPr="00562D6B">
              <w:rPr>
                <w:rFonts w:ascii="Times New Roman" w:hAnsi="Times New Roman" w:cs="Times New Roman"/>
                <w:color w:val="333333"/>
                <w:sz w:val="28"/>
                <w:szCs w:val="28"/>
              </w:rPr>
              <w:br/>
              <w:t>-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r w:rsidRPr="00562D6B">
              <w:rPr>
                <w:rFonts w:ascii="Times New Roman" w:hAnsi="Times New Roman" w:cs="Times New Roman"/>
                <w:color w:val="333333"/>
                <w:sz w:val="28"/>
                <w:szCs w:val="28"/>
              </w:rPr>
              <w:br/>
              <w:t>- отчет об исполнении финансового плана субъекта электроэнергетики;</w:t>
            </w:r>
            <w:r w:rsidRPr="00562D6B">
              <w:rPr>
                <w:rFonts w:ascii="Times New Roman" w:hAnsi="Times New Roman" w:cs="Times New Roman"/>
                <w:color w:val="333333"/>
                <w:sz w:val="28"/>
                <w:szCs w:val="28"/>
              </w:rPr>
              <w:br/>
            </w:r>
            <w:r w:rsidRPr="00562D6B">
              <w:rPr>
                <w:rFonts w:ascii="Times New Roman" w:hAnsi="Times New Roman" w:cs="Times New Roman"/>
                <w:b/>
                <w:bCs/>
                <w:color w:val="333333"/>
                <w:sz w:val="28"/>
                <w:szCs w:val="28"/>
              </w:rPr>
              <w:t>паспорта инвестиционных проектов</w:t>
            </w:r>
            <w:r w:rsidRPr="00562D6B">
              <w:rPr>
                <w:rFonts w:ascii="Times New Roman" w:hAnsi="Times New Roman" w:cs="Times New Roman"/>
                <w:color w:val="333333"/>
                <w:sz w:val="28"/>
                <w:szCs w:val="28"/>
              </w:rPr>
              <w:t>, содержащие информацию, предусмотренную </w:t>
            </w:r>
            <w:r w:rsidRPr="00562D6B">
              <w:rPr>
                <w:rFonts w:ascii="Times New Roman" w:hAnsi="Times New Roman" w:cs="Times New Roman"/>
                <w:b/>
                <w:bCs/>
                <w:color w:val="333333"/>
                <w:sz w:val="28"/>
                <w:szCs w:val="28"/>
              </w:rPr>
              <w:t>пунктом 11(8)</w:t>
            </w:r>
            <w:r w:rsidRPr="00562D6B">
              <w:rPr>
                <w:rFonts w:ascii="Times New Roman" w:hAnsi="Times New Roman" w:cs="Times New Roman"/>
                <w:color w:val="333333"/>
                <w:sz w:val="28"/>
                <w:szCs w:val="28"/>
              </w:rPr>
              <w:t xml:space="preserve"> настоящего документа, по состоянию на </w:t>
            </w:r>
            <w:r w:rsidRPr="00562D6B">
              <w:rPr>
                <w:rFonts w:ascii="Times New Roman" w:hAnsi="Times New Roman" w:cs="Times New Roman"/>
                <w:color w:val="333333"/>
                <w:sz w:val="28"/>
                <w:szCs w:val="28"/>
              </w:rPr>
              <w:lastRenderedPageBreak/>
              <w:t>отчетную дату;</w:t>
            </w:r>
            <w:r w:rsidRPr="00562D6B">
              <w:rPr>
                <w:rFonts w:ascii="Times New Roman" w:hAnsi="Times New Roman" w:cs="Times New Roman"/>
                <w:color w:val="333333"/>
                <w:sz w:val="28"/>
                <w:szCs w:val="28"/>
              </w:rPr>
              <w:br/>
            </w:r>
            <w:r w:rsidRPr="00562D6B">
              <w:rPr>
                <w:rFonts w:ascii="Times New Roman" w:hAnsi="Times New Roman" w:cs="Times New Roman"/>
                <w:b/>
                <w:bCs/>
                <w:color w:val="333333"/>
                <w:sz w:val="28"/>
                <w:szCs w:val="28"/>
              </w:rPr>
              <w:t>заключение по результатам</w:t>
            </w:r>
            <w:r w:rsidRPr="00562D6B">
              <w:rPr>
                <w:rFonts w:ascii="Times New Roman" w:hAnsi="Times New Roman" w:cs="Times New Roman"/>
                <w:color w:val="333333"/>
                <w:sz w:val="28"/>
                <w:szCs w:val="28"/>
              </w:rPr>
              <w:t>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Информация, указанная в абзацах втором - десятом подпункта "ж(1)"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r w:rsidRPr="00562D6B">
              <w:rPr>
                <w:rFonts w:ascii="Times New Roman" w:hAnsi="Times New Roman" w:cs="Times New Roman"/>
                <w:color w:val="333333"/>
                <w:sz w:val="28"/>
                <w:szCs w:val="28"/>
              </w:rPr>
              <w:br/>
            </w:r>
            <w:r w:rsidRPr="00562D6B">
              <w:rPr>
                <w:rFonts w:ascii="Times New Roman" w:hAnsi="Times New Roman" w:cs="Times New Roman"/>
                <w:color w:val="333333"/>
                <w:sz w:val="28"/>
                <w:szCs w:val="28"/>
              </w:rPr>
              <w:br/>
            </w:r>
            <w:r w:rsidRPr="00562D6B">
              <w:rPr>
                <w:rFonts w:ascii="Times New Roman" w:hAnsi="Times New Roman" w:cs="Times New Roman"/>
                <w:color w:val="333333"/>
                <w:sz w:val="28"/>
                <w:szCs w:val="28"/>
              </w:rPr>
              <w:br/>
            </w:r>
          </w:p>
        </w:tc>
        <w:tc>
          <w:tcPr>
            <w:tcW w:w="2011" w:type="dxa"/>
            <w:tcBorders>
              <w:top w:val="single" w:sz="8" w:space="0" w:color="auto"/>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38" w:history="1">
              <w:r w:rsidRPr="00562D6B">
                <w:rPr>
                  <w:rStyle w:val="a3"/>
                  <w:rFonts w:ascii="Times New Roman" w:hAnsi="Times New Roman" w:cs="Times New Roman"/>
                  <w:color w:val="090084"/>
                  <w:sz w:val="28"/>
                  <w:szCs w:val="28"/>
                  <w:u w:val="none"/>
                </w:rPr>
                <w:t>Ссылка</w:t>
              </w:r>
            </w:hyperlink>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hyperlink r:id="rId39" w:history="1">
              <w:r w:rsidRPr="00562D6B">
                <w:rPr>
                  <w:rStyle w:val="a3"/>
                  <w:rFonts w:ascii="Times New Roman" w:hAnsi="Times New Roman" w:cs="Times New Roman"/>
                  <w:color w:val="090084"/>
                  <w:sz w:val="28"/>
                  <w:szCs w:val="28"/>
                  <w:u w:val="none"/>
                </w:rPr>
                <w:t>Ссылка</w:t>
              </w:r>
            </w:hyperlink>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hyperlink r:id="rId40" w:history="1">
              <w:r w:rsidRPr="00562D6B">
                <w:rPr>
                  <w:rStyle w:val="a3"/>
                  <w:rFonts w:ascii="Times New Roman" w:hAnsi="Times New Roman" w:cs="Times New Roman"/>
                  <w:color w:val="090084"/>
                  <w:sz w:val="28"/>
                  <w:szCs w:val="28"/>
                  <w:u w:val="none"/>
                </w:rPr>
                <w:t>Ссылка</w:t>
              </w:r>
            </w:hyperlink>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333399"/>
                <w:sz w:val="28"/>
                <w:szCs w:val="28"/>
              </w:rPr>
              <w:lastRenderedPageBreak/>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hyperlink r:id="rId41" w:history="1">
              <w:r w:rsidRPr="00562D6B">
                <w:rPr>
                  <w:rStyle w:val="a3"/>
                  <w:rFonts w:ascii="Times New Roman" w:hAnsi="Times New Roman" w:cs="Times New Roman"/>
                  <w:color w:val="090084"/>
                  <w:sz w:val="28"/>
                  <w:szCs w:val="28"/>
                  <w:u w:val="none"/>
                </w:rPr>
                <w:t>Ссылка</w:t>
              </w:r>
            </w:hyperlink>
          </w:p>
        </w:tc>
      </w:tr>
      <w:tr w:rsidR="00562D6B" w:rsidRPr="00562D6B" w:rsidTr="00562D6B">
        <w:tc>
          <w:tcPr>
            <w:tcW w:w="847" w:type="dxa"/>
            <w:tcBorders>
              <w:top w:val="nil"/>
              <w:left w:val="single" w:sz="8" w:space="0" w:color="auto"/>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1290" w:type="dxa"/>
            <w:tcBorders>
              <w:top w:val="nil"/>
              <w:left w:val="nil"/>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з</w:t>
            </w:r>
          </w:p>
        </w:tc>
        <w:tc>
          <w:tcPr>
            <w:tcW w:w="810" w:type="dxa"/>
            <w:tcBorders>
              <w:top w:val="nil"/>
              <w:left w:val="nil"/>
              <w:bottom w:val="single" w:sz="8" w:space="0" w:color="000000"/>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2</w:t>
            </w:r>
          </w:p>
        </w:tc>
        <w:tc>
          <w:tcPr>
            <w:tcW w:w="0" w:type="auto"/>
            <w:vMerge/>
            <w:tcBorders>
              <w:top w:val="single" w:sz="8" w:space="0" w:color="auto"/>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7153" w:type="dxa"/>
            <w:tcBorders>
              <w:top w:val="nil"/>
              <w:left w:val="nil"/>
              <w:bottom w:val="single" w:sz="8" w:space="0" w:color="000000"/>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11з.2) о корпоративных правилах осуществления закупок (включая использование конкурсов, аукционов);</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hyperlink r:id="rId42" w:history="1">
              <w:r w:rsidRPr="00562D6B">
                <w:rPr>
                  <w:rStyle w:val="a3"/>
                  <w:rFonts w:ascii="Times New Roman" w:hAnsi="Times New Roman" w:cs="Times New Roman"/>
                  <w:color w:val="090084"/>
                  <w:sz w:val="28"/>
                  <w:szCs w:val="28"/>
                  <w:u w:val="none"/>
                </w:rPr>
                <w:t>Ссылка</w:t>
              </w:r>
            </w:hyperlink>
          </w:p>
        </w:tc>
      </w:tr>
      <w:tr w:rsidR="00562D6B" w:rsidRPr="00562D6B" w:rsidTr="00562D6B">
        <w:tc>
          <w:tcPr>
            <w:tcW w:w="847" w:type="dxa"/>
            <w:tcBorders>
              <w:top w:val="nil"/>
              <w:left w:val="single" w:sz="8" w:space="0" w:color="auto"/>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9</w:t>
            </w:r>
          </w:p>
        </w:tc>
        <w:tc>
          <w:tcPr>
            <w:tcW w:w="1290" w:type="dxa"/>
            <w:tcBorders>
              <w:top w:val="nil"/>
              <w:left w:val="nil"/>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000000"/>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single" w:sz="8" w:space="0" w:color="auto"/>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7153" w:type="dxa"/>
            <w:tcBorders>
              <w:top w:val="nil"/>
              <w:left w:val="nil"/>
              <w:bottom w:val="single" w:sz="8" w:space="0" w:color="000000"/>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9 б) структура и объем затрат на производство и реализацию товаров (работ, услуг);</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jc w:val="center"/>
              <w:rPr>
                <w:rFonts w:ascii="Times New Roman" w:hAnsi="Times New Roman" w:cs="Times New Roman"/>
                <w:color w:val="333333"/>
                <w:sz w:val="28"/>
                <w:szCs w:val="28"/>
              </w:rPr>
            </w:pPr>
            <w:hyperlink r:id="rId43"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600"/>
        </w:trPr>
        <w:tc>
          <w:tcPr>
            <w:tcW w:w="847" w:type="dxa"/>
            <w:tcBorders>
              <w:top w:val="nil"/>
              <w:left w:val="single" w:sz="8" w:space="0" w:color="auto"/>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1290" w:type="dxa"/>
            <w:tcBorders>
              <w:top w:val="nil"/>
              <w:left w:val="nil"/>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л</w:t>
            </w:r>
          </w:p>
        </w:tc>
        <w:tc>
          <w:tcPr>
            <w:tcW w:w="810" w:type="dxa"/>
            <w:tcBorders>
              <w:top w:val="nil"/>
              <w:left w:val="nil"/>
              <w:bottom w:val="single" w:sz="8" w:space="0" w:color="000000"/>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single" w:sz="8" w:space="0" w:color="auto"/>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7153" w:type="dxa"/>
            <w:tcBorders>
              <w:top w:val="nil"/>
              <w:left w:val="nil"/>
              <w:bottom w:val="single" w:sz="8" w:space="0" w:color="000000"/>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л) о качестве обслуживания потребителей услуг сетевой организации;</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44"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2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9</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а</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ежегодно, до 1 июня</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w:t>
            </w:r>
            <w:r w:rsidRPr="00562D6B">
              <w:rPr>
                <w:rFonts w:ascii="Times New Roman" w:hAnsi="Times New Roman" w:cs="Times New Roman"/>
                <w:b/>
                <w:bCs/>
                <w:color w:val="FF0000"/>
                <w:sz w:val="28"/>
                <w:szCs w:val="28"/>
              </w:rPr>
              <w:t>факт 2015  года</w:t>
            </w:r>
            <w:r w:rsidRPr="00562D6B">
              <w:rPr>
                <w:rFonts w:ascii="Times New Roman" w:hAnsi="Times New Roman" w:cs="Times New Roman"/>
                <w:color w:val="000000"/>
                <w:sz w:val="28"/>
                <w:szCs w:val="28"/>
              </w:rPr>
              <w:t>)</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9 а) годовая финансовая (бухгалтерская) отчетность, а так же аудиторское заключение (в случае, если в соответствием с законодательством РФ осуществлялась аудиторская проверка);</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45"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277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9</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г</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За 10 дней</w:t>
            </w:r>
            <w:r w:rsidRPr="00562D6B">
              <w:rPr>
                <w:rFonts w:ascii="Times New Roman" w:hAnsi="Times New Roman" w:cs="Times New Roman"/>
                <w:color w:val="000000"/>
                <w:sz w:val="28"/>
                <w:szCs w:val="28"/>
              </w:rPr>
              <w:t> до предоставления в </w:t>
            </w:r>
            <w:r w:rsidRPr="00562D6B">
              <w:rPr>
                <w:rFonts w:ascii="Times New Roman" w:hAnsi="Times New Roman" w:cs="Times New Roman"/>
                <w:color w:val="272727"/>
                <w:sz w:val="28"/>
                <w:szCs w:val="28"/>
              </w:rPr>
              <w:t>Министерство тарифного регулирования и энергетики</w:t>
            </w:r>
            <w:r w:rsidRPr="00562D6B">
              <w:rPr>
                <w:rFonts w:ascii="Times New Roman" w:hAnsi="Times New Roman" w:cs="Times New Roman"/>
                <w:color w:val="000000"/>
                <w:sz w:val="28"/>
                <w:szCs w:val="28"/>
              </w:rPr>
              <w:t>предложения об установлении тарифов или их предельных уровней</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9 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46"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360"/>
        </w:trPr>
        <w:tc>
          <w:tcPr>
            <w:tcW w:w="847" w:type="dxa"/>
            <w:tcBorders>
              <w:top w:val="nil"/>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lang w:val="en-US"/>
              </w:rPr>
              <w:lastRenderedPageBreak/>
              <w:t>11</w:t>
            </w:r>
          </w:p>
        </w:tc>
        <w:tc>
          <w:tcPr>
            <w:tcW w:w="1290" w:type="dxa"/>
            <w:tcBorders>
              <w:top w:val="nil"/>
              <w:left w:val="nil"/>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а(2)</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За 10 дней </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272727"/>
                <w:sz w:val="28"/>
                <w:szCs w:val="28"/>
              </w:rPr>
              <w:t>до предоставления в Министерство тарифного регулирования и энергетики прогнозных сведений о расходах за технологическое присоединение на очередной календарный год.</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272727"/>
                <w:sz w:val="28"/>
                <w:szCs w:val="28"/>
              </w:rPr>
              <w:t>11 а (2)) о прогнозных сведениях о расходах за технологическое присоединение на очередной календарный год — для территориальных сетевых организаций:</w:t>
            </w:r>
            <w:r w:rsidRPr="00562D6B">
              <w:rPr>
                <w:rFonts w:ascii="Times New Roman" w:hAnsi="Times New Roman" w:cs="Times New Roman"/>
                <w:color w:val="272727"/>
                <w:sz w:val="28"/>
                <w:szCs w:val="28"/>
              </w:rPr>
              <w:br/>
              <w:t>Территориальные сетевые организации раскрывают:</w:t>
            </w:r>
            <w:r w:rsidRPr="00562D6B">
              <w:rPr>
                <w:rFonts w:ascii="Times New Roman" w:hAnsi="Times New Roman" w:cs="Times New Roman"/>
                <w:color w:val="272727"/>
                <w:sz w:val="28"/>
                <w:szCs w:val="28"/>
              </w:rPr>
              <w:br/>
              <w:t>информацию о прогнозных сведениях о расходах за технологическое присоединение, указанную в подпункте«а (2)» пункта 11 настоящего документа, по форме согласно приложению N 2;</w:t>
            </w:r>
            <w:r w:rsidRPr="00562D6B">
              <w:rPr>
                <w:rFonts w:ascii="Times New Roman" w:hAnsi="Times New Roman" w:cs="Times New Roman"/>
                <w:color w:val="272727"/>
                <w:sz w:val="28"/>
                <w:szCs w:val="28"/>
              </w:rPr>
              <w:br/>
              <w:t>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приложению N 3;</w:t>
            </w:r>
            <w:r w:rsidRPr="00562D6B">
              <w:rPr>
                <w:rFonts w:ascii="Times New Roman" w:hAnsi="Times New Roman" w:cs="Times New Roman"/>
                <w:color w:val="272727"/>
                <w:sz w:val="28"/>
                <w:szCs w:val="28"/>
              </w:rPr>
              <w:br/>
              <w:t>информацию о расходах на мероприятия, осуществляемые при технологическом присоединении, по форме согласно приложению N 4;</w:t>
            </w:r>
            <w:r w:rsidRPr="00562D6B">
              <w:rPr>
                <w:rFonts w:ascii="Times New Roman" w:hAnsi="Times New Roman" w:cs="Times New Roman"/>
                <w:color w:val="272727"/>
                <w:sz w:val="28"/>
                <w:szCs w:val="28"/>
              </w:rPr>
              <w:br/>
              <w:t>информацию о расчете необходимой валовой выручки сетевой организации на технологическое присоединение по форме согласно приложению N 5;</w:t>
            </w:r>
            <w:r w:rsidRPr="00562D6B">
              <w:rPr>
                <w:rFonts w:ascii="Times New Roman" w:hAnsi="Times New Roman" w:cs="Times New Roman"/>
                <w:color w:val="272727"/>
                <w:sz w:val="28"/>
                <w:szCs w:val="28"/>
              </w:rPr>
              <w:br/>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6;</w:t>
            </w:r>
            <w:r w:rsidRPr="00562D6B">
              <w:rPr>
                <w:rFonts w:ascii="Times New Roman" w:hAnsi="Times New Roman" w:cs="Times New Roman"/>
                <w:color w:val="272727"/>
                <w:sz w:val="28"/>
                <w:szCs w:val="28"/>
              </w:rPr>
              <w:br/>
              <w:t xml:space="preserve">информацию о фактических средних данных </w:t>
            </w:r>
            <w:r w:rsidRPr="00562D6B">
              <w:rPr>
                <w:rFonts w:ascii="Times New Roman" w:hAnsi="Times New Roman" w:cs="Times New Roman"/>
                <w:color w:val="272727"/>
                <w:sz w:val="28"/>
                <w:szCs w:val="28"/>
              </w:rPr>
              <w:lastRenderedPageBreak/>
              <w:t>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7;</w:t>
            </w:r>
            <w:r w:rsidRPr="00562D6B">
              <w:rPr>
                <w:rFonts w:ascii="Times New Roman" w:hAnsi="Times New Roman" w:cs="Times New Roman"/>
                <w:color w:val="272727"/>
                <w:sz w:val="28"/>
                <w:szCs w:val="28"/>
              </w:rPr>
              <w:br/>
              <w:t>информацию об осуществлении технологического присоединения по договорам, заключенным за текущий год, по форме согласно приложению N 8;</w:t>
            </w:r>
            <w:r w:rsidRPr="00562D6B">
              <w:rPr>
                <w:rFonts w:ascii="Times New Roman" w:hAnsi="Times New Roman" w:cs="Times New Roman"/>
                <w:color w:val="272727"/>
                <w:sz w:val="28"/>
                <w:szCs w:val="28"/>
              </w:rPr>
              <w:br/>
              <w:t>информацию о поданных заявках на технологическое присоединение за текущий год по форме согласно приложению N 9.».</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47"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69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в</w:t>
            </w:r>
          </w:p>
        </w:tc>
        <w:tc>
          <w:tcPr>
            <w:tcW w:w="810"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ежемесячно</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333333"/>
                <w:sz w:val="28"/>
                <w:szCs w:val="28"/>
              </w:rPr>
              <w:t>В отношении трансформаторных подстанций 35 кВ и выше:</w:t>
            </w:r>
          </w:p>
        </w:tc>
        <w:tc>
          <w:tcPr>
            <w:tcW w:w="2011" w:type="dxa"/>
            <w:vMerge w:val="restart"/>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90084"/>
                <w:sz w:val="28"/>
                <w:szCs w:val="28"/>
              </w:rPr>
              <w:t>Оборудование данного уровня отсутствует</w:t>
            </w:r>
          </w:p>
        </w:tc>
      </w:tr>
      <w:tr w:rsidR="00562D6B" w:rsidRPr="00562D6B" w:rsidTr="00562D6B">
        <w:trPr>
          <w:trHeight w:val="364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66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xml:space="preserve">- поданных заявок и объема мощности, </w:t>
            </w:r>
            <w:r w:rsidRPr="00562D6B">
              <w:rPr>
                <w:rFonts w:ascii="Times New Roman" w:hAnsi="Times New Roman" w:cs="Times New Roman"/>
                <w:i/>
                <w:iCs/>
                <w:color w:val="333333"/>
                <w:sz w:val="28"/>
                <w:szCs w:val="28"/>
              </w:rPr>
              <w:lastRenderedPageBreak/>
              <w:t>необходимого для их удовлетворения;</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183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63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аннулированных заявок на технологическое присоединение;</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64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single" w:sz="8" w:space="0" w:color="auto"/>
              <w:right w:val="nil"/>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single" w:sz="8" w:space="0" w:color="auto"/>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выполненных присоединений и присоединенной мощности;</w:t>
            </w:r>
          </w:p>
        </w:tc>
        <w:tc>
          <w:tcPr>
            <w:tcW w:w="2011" w:type="dxa"/>
            <w:vMerge/>
            <w:tcBorders>
              <w:top w:val="nil"/>
              <w:left w:val="nil"/>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975"/>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single" w:sz="8" w:space="0" w:color="auto"/>
              <w:right w:val="nil"/>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single" w:sz="8" w:space="0" w:color="auto"/>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18</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ежемесячно</w:t>
            </w:r>
            <w:r w:rsidRPr="00562D6B">
              <w:rPr>
                <w:rFonts w:ascii="Times New Roman" w:hAnsi="Times New Roman" w:cs="Times New Roman"/>
                <w:color w:val="000000"/>
                <w:sz w:val="28"/>
                <w:szCs w:val="28"/>
              </w:rPr>
              <w:t> </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(и по мере обновления информации)</w:t>
            </w:r>
          </w:p>
        </w:tc>
        <w:tc>
          <w:tcPr>
            <w:tcW w:w="715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11б.18) о вводе в ремонт и выводе из ремонта электросетевых объектов с указанием сроков (сводная информация);</w:t>
            </w:r>
          </w:p>
        </w:tc>
        <w:tc>
          <w:tcPr>
            <w:tcW w:w="201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48"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64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15</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ежеквартально</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11б.15) об объеме недопоставленной в результате аварийных отключений электрической энергии;</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49"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500"/>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single" w:sz="8" w:space="0" w:color="auto"/>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single" w:sz="8" w:space="0" w:color="auto"/>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16</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11б.16)о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80"/>
                <w:sz w:val="28"/>
                <w:szCs w:val="28"/>
                <w:shd w:val="clear" w:color="auto" w:fill="FEFFFF"/>
              </w:rPr>
              <w:t>Оборудование данного уровня отсутствует</w:t>
            </w:r>
          </w:p>
        </w:tc>
      </w:tr>
      <w:tr w:rsidR="00562D6B" w:rsidRPr="00562D6B" w:rsidTr="00562D6B">
        <w:trPr>
          <w:trHeight w:val="27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е)</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в течение 5 рабочих дней</w:t>
            </w:r>
            <w:r w:rsidRPr="00562D6B">
              <w:rPr>
                <w:rFonts w:ascii="Times New Roman" w:hAnsi="Times New Roman" w:cs="Times New Roman"/>
                <w:color w:val="000000"/>
                <w:sz w:val="28"/>
                <w:szCs w:val="28"/>
              </w:rPr>
              <w:t> со дня изменений</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0"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220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в(1)</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ежеквартально</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11в. 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1"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single" w:sz="8" w:space="0" w:color="auto"/>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б</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17</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11б.17)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2"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02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д</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vMerge w:val="restart"/>
            <w:tcBorders>
              <w:top w:val="nil"/>
              <w:left w:val="single" w:sz="8" w:space="0" w:color="auto"/>
              <w:bottom w:val="single" w:sz="8" w:space="0" w:color="000000"/>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в течение 7 дней</w:t>
            </w:r>
            <w:r w:rsidRPr="00562D6B">
              <w:rPr>
                <w:rFonts w:ascii="Times New Roman" w:hAnsi="Times New Roman" w:cs="Times New Roman"/>
                <w:color w:val="000000"/>
                <w:sz w:val="28"/>
                <w:szCs w:val="28"/>
              </w:rPr>
              <w:t xml:space="preserve"> со дня поступления письменного </w:t>
            </w:r>
            <w:r w:rsidRPr="00562D6B">
              <w:rPr>
                <w:rFonts w:ascii="Times New Roman" w:hAnsi="Times New Roman" w:cs="Times New Roman"/>
                <w:color w:val="000000"/>
                <w:sz w:val="28"/>
                <w:szCs w:val="28"/>
              </w:rPr>
              <w:lastRenderedPageBreak/>
              <w:t>запроса</w:t>
            </w:r>
          </w:p>
        </w:tc>
        <w:tc>
          <w:tcPr>
            <w:tcW w:w="71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333333"/>
                <w:sz w:val="28"/>
                <w:szCs w:val="28"/>
              </w:rPr>
              <w:lastRenderedPageBreak/>
              <w:t>В отношении подстанций и распределительных пунктов напряжением ниже 35 кВ:</w:t>
            </w:r>
          </w:p>
        </w:tc>
        <w:tc>
          <w:tcPr>
            <w:tcW w:w="2011" w:type="dxa"/>
            <w:vMerge w:val="restart"/>
            <w:tcBorders>
              <w:top w:val="nil"/>
              <w:left w:val="single" w:sz="8" w:space="0" w:color="auto"/>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3"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40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11д) об условиях, на которых осуществляется </w:t>
            </w:r>
            <w:r w:rsidRPr="00562D6B">
              <w:rPr>
                <w:rFonts w:ascii="Times New Roman" w:hAnsi="Times New Roman" w:cs="Times New Roman"/>
                <w:b/>
                <w:bCs/>
                <w:color w:val="333333"/>
                <w:sz w:val="28"/>
                <w:szCs w:val="28"/>
              </w:rPr>
              <w:t>поставка</w:t>
            </w:r>
            <w:r w:rsidRPr="00562D6B">
              <w:rPr>
                <w:rFonts w:ascii="Times New Roman" w:hAnsi="Times New Roman" w:cs="Times New Roman"/>
                <w:color w:val="333333"/>
                <w:sz w:val="28"/>
                <w:szCs w:val="28"/>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103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в</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vMerge w:val="restart"/>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в течение 7 дней</w:t>
            </w:r>
            <w:r w:rsidRPr="00562D6B">
              <w:rPr>
                <w:rFonts w:ascii="Times New Roman" w:hAnsi="Times New Roman" w:cs="Times New Roman"/>
                <w:color w:val="000000"/>
                <w:sz w:val="28"/>
                <w:szCs w:val="28"/>
              </w:rPr>
              <w:t> со дня поступления письменного запроса</w:t>
            </w:r>
          </w:p>
        </w:tc>
        <w:tc>
          <w:tcPr>
            <w:tcW w:w="71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333333"/>
                <w:sz w:val="28"/>
                <w:szCs w:val="28"/>
              </w:rPr>
              <w:t>В отношении подстанций и распределительных пунктов напряжением ниже 35 кВ:</w:t>
            </w:r>
          </w:p>
        </w:tc>
        <w:tc>
          <w:tcPr>
            <w:tcW w:w="2011" w:type="dxa"/>
            <w:vMerge w:val="restart"/>
            <w:tcBorders>
              <w:top w:val="nil"/>
              <w:left w:val="single" w:sz="8" w:space="0" w:color="auto"/>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4"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300"/>
        </w:trPr>
        <w:tc>
          <w:tcPr>
            <w:tcW w:w="0" w:type="auto"/>
            <w:tcBorders>
              <w:top w:val="nil"/>
              <w:left w:val="single" w:sz="8" w:space="0" w:color="auto"/>
              <w:bottom w:val="nil"/>
              <w:right w:val="nil"/>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nil"/>
              <w:left w:val="single" w:sz="8" w:space="0" w:color="auto"/>
              <w:bottom w:val="nil"/>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71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66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поданных заявок и объема мощности, необходимого для их удовлетворения;</w:t>
            </w: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189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78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аннулированных заявок на технологическое присоединение;</w:t>
            </w: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70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выполненных присоединений и присоединенной мощности;</w:t>
            </w: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2430"/>
        </w:trPr>
        <w:tc>
          <w:tcPr>
            <w:tcW w:w="847" w:type="dxa"/>
            <w:tcBorders>
              <w:top w:val="nil"/>
              <w:left w:val="single" w:sz="8" w:space="0" w:color="auto"/>
              <w:bottom w:val="single" w:sz="8" w:space="0" w:color="auto"/>
              <w:right w:val="single" w:sz="8" w:space="0" w:color="auto"/>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а(1)</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в течение 5 рабочих дней</w:t>
            </w:r>
            <w:r w:rsidRPr="00562D6B">
              <w:rPr>
                <w:rFonts w:ascii="Times New Roman" w:hAnsi="Times New Roman" w:cs="Times New Roman"/>
                <w:color w:val="333333"/>
                <w:sz w:val="28"/>
                <w:szCs w:val="28"/>
              </w:rPr>
              <w:t> со дня изменений</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 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5"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2760"/>
        </w:trPr>
        <w:tc>
          <w:tcPr>
            <w:tcW w:w="847" w:type="dxa"/>
            <w:tcBorders>
              <w:top w:val="nil"/>
              <w:left w:val="single" w:sz="8" w:space="0" w:color="auto"/>
              <w:bottom w:val="single" w:sz="8" w:space="0" w:color="auto"/>
              <w:right w:val="single" w:sz="8" w:space="0" w:color="auto"/>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е(1)</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11е.1) О возможности подачи заявки на осуществление технологического присоединения энергопринимающих устройств заявителя к электрическим сетям  (для энергопринимающих устройств максимальная мощность которых составляет до 150 кВт, для временного присоединения ЭПУ напряжением до 35 кВт,  для присоединения ЭПУ, максимальная мощность которых составляет менее 15 кВт), а так же  к электрическим сетям классом напряжения до 10 к В.</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6"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45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е(2)</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7"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517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к</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в течение 5 рабочих дней </w:t>
            </w:r>
            <w:r w:rsidRPr="00562D6B">
              <w:rPr>
                <w:rFonts w:ascii="Times New Roman" w:hAnsi="Times New Roman" w:cs="Times New Roman"/>
                <w:color w:val="000000"/>
                <w:sz w:val="28"/>
                <w:szCs w:val="28"/>
              </w:rPr>
              <w:t>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на сайте. В течении </w:t>
            </w:r>
            <w:r w:rsidRPr="00562D6B">
              <w:rPr>
                <w:rFonts w:ascii="Times New Roman" w:hAnsi="Times New Roman" w:cs="Times New Roman"/>
                <w:b/>
                <w:bCs/>
                <w:color w:val="000000"/>
                <w:sz w:val="28"/>
                <w:szCs w:val="28"/>
              </w:rPr>
              <w:t>7 дней</w:t>
            </w:r>
            <w:r w:rsidRPr="00562D6B">
              <w:rPr>
                <w:rFonts w:ascii="Times New Roman" w:hAnsi="Times New Roman" w:cs="Times New Roman"/>
                <w:color w:val="000000"/>
                <w:sz w:val="28"/>
                <w:szCs w:val="28"/>
              </w:rPr>
              <w:t> с момента получения письменного запроса - письменно.</w:t>
            </w:r>
          </w:p>
        </w:tc>
        <w:tc>
          <w:tcPr>
            <w:tcW w:w="7153" w:type="dxa"/>
            <w:vMerge w:val="restart"/>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11к) о лицах, намеривающих перераспределить максимальную мощность принадлежащих им  энергопринимающих устройств в пользу иных лиц, включая:</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объем планируемой к перераспределению максимальной мощности;</w:t>
            </w:r>
          </w:p>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i/>
                <w:iCs/>
                <w:color w:val="333333"/>
                <w:sz w:val="28"/>
                <w:szCs w:val="28"/>
              </w:rPr>
              <w:t>- наименование и место нахождения центра питания.</w:t>
            </w:r>
          </w:p>
        </w:tc>
        <w:tc>
          <w:tcPr>
            <w:tcW w:w="2011" w:type="dxa"/>
            <w:vMerge w:val="restart"/>
            <w:tcBorders>
              <w:top w:val="nil"/>
              <w:left w:val="single" w:sz="8" w:space="0" w:color="auto"/>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8"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160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nil"/>
              <w:left w:val="nil"/>
              <w:bottom w:val="single" w:sz="8" w:space="0" w:color="auto"/>
              <w:right w:val="nil"/>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97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nil"/>
              <w:left w:val="nil"/>
              <w:bottom w:val="single" w:sz="8" w:space="0" w:color="auto"/>
              <w:right w:val="nil"/>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78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0" w:type="auto"/>
            <w:vMerge/>
            <w:tcBorders>
              <w:top w:val="nil"/>
              <w:left w:val="nil"/>
              <w:bottom w:val="single" w:sz="8" w:space="0" w:color="auto"/>
              <w:right w:val="nil"/>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c>
          <w:tcPr>
            <w:tcW w:w="2011" w:type="dxa"/>
            <w:vMerge/>
            <w:tcBorders>
              <w:top w:val="nil"/>
              <w:left w:val="single" w:sz="8" w:space="0" w:color="auto"/>
              <w:bottom w:val="single" w:sz="8" w:space="0" w:color="000000"/>
              <w:right w:val="single" w:sz="8" w:space="0" w:color="auto"/>
            </w:tcBorders>
            <w:shd w:val="clear" w:color="auto" w:fill="FEFFFF"/>
            <w:vAlign w:val="center"/>
            <w:hideMark/>
          </w:tcPr>
          <w:p w:rsidR="00562D6B" w:rsidRPr="00562D6B" w:rsidRDefault="00562D6B">
            <w:pPr>
              <w:rPr>
                <w:rFonts w:ascii="Times New Roman" w:hAnsi="Times New Roman" w:cs="Times New Roman"/>
                <w:color w:val="333333"/>
                <w:sz w:val="28"/>
                <w:szCs w:val="28"/>
              </w:rPr>
            </w:pPr>
          </w:p>
        </w:tc>
      </w:tr>
      <w:tr w:rsidR="00562D6B" w:rsidRPr="00562D6B" w:rsidTr="00562D6B">
        <w:trPr>
          <w:trHeight w:val="3360"/>
        </w:trPr>
        <w:tc>
          <w:tcPr>
            <w:tcW w:w="847" w:type="dxa"/>
            <w:tcBorders>
              <w:top w:val="nil"/>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lastRenderedPageBreak/>
              <w:t>11</w:t>
            </w:r>
          </w:p>
        </w:tc>
        <w:tc>
          <w:tcPr>
            <w:tcW w:w="1290" w:type="dxa"/>
            <w:tcBorders>
              <w:top w:val="nil"/>
              <w:left w:val="nil"/>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и</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FF0000"/>
                <w:sz w:val="28"/>
                <w:szCs w:val="28"/>
              </w:rPr>
              <w:t>в течение 10 дней</w:t>
            </w:r>
            <w:r w:rsidRPr="00562D6B">
              <w:rPr>
                <w:rFonts w:ascii="Times New Roman" w:hAnsi="Times New Roman" w:cs="Times New Roman"/>
                <w:color w:val="000000"/>
                <w:sz w:val="28"/>
                <w:szCs w:val="28"/>
              </w:rPr>
              <w:t> со дня вступления в силу изменений.</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11и) о паспортах услуг (процессов). Под паспортом услуги (процесса) понимается документ, содержащий систематизированную в хронологическом порядке информацию об этапах и сроках оказываемой потребителям услуги (осуществляемого процесса), порядок определения стоимости (если законодательством РФ предусмотрено взимание платы за исполнение услуги (процесса), а так же описание результата с указанием нормативных правовых актов, регламентирующих оказание соответствующей услуги (осуществление процесса).</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hyperlink r:id="rId59" w:history="1">
              <w:r w:rsidRPr="00562D6B">
                <w:rPr>
                  <w:rStyle w:val="a3"/>
                  <w:rFonts w:ascii="Times New Roman" w:hAnsi="Times New Roman" w:cs="Times New Roman"/>
                  <w:color w:val="090084"/>
                  <w:sz w:val="28"/>
                  <w:szCs w:val="28"/>
                  <w:u w:val="none"/>
                </w:rPr>
                <w:t>Ссылка</w:t>
              </w:r>
            </w:hyperlink>
          </w:p>
        </w:tc>
      </w:tr>
      <w:tr w:rsidR="00562D6B" w:rsidRPr="00562D6B" w:rsidTr="00562D6B">
        <w:trPr>
          <w:trHeight w:val="3360"/>
        </w:trPr>
        <w:tc>
          <w:tcPr>
            <w:tcW w:w="847" w:type="dxa"/>
            <w:tcBorders>
              <w:top w:val="nil"/>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11</w:t>
            </w:r>
          </w:p>
        </w:tc>
        <w:tc>
          <w:tcPr>
            <w:tcW w:w="1290" w:type="dxa"/>
            <w:tcBorders>
              <w:top w:val="nil"/>
              <w:left w:val="nil"/>
              <w:bottom w:val="single" w:sz="8" w:space="0" w:color="auto"/>
              <w:right w:val="single" w:sz="8" w:space="0" w:color="000000"/>
            </w:tcBorders>
            <w:shd w:val="clear" w:color="auto" w:fill="CCFFCC"/>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м</w:t>
            </w:r>
          </w:p>
        </w:tc>
        <w:tc>
          <w:tcPr>
            <w:tcW w:w="810"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562D6B" w:rsidRPr="00562D6B" w:rsidRDefault="00562D6B">
            <w:pP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000000"/>
                <w:sz w:val="28"/>
                <w:szCs w:val="28"/>
              </w:rPr>
              <w:t> </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FF0000"/>
                <w:sz w:val="28"/>
                <w:szCs w:val="28"/>
              </w:rPr>
              <w:t>ежемесячно</w:t>
            </w:r>
          </w:p>
        </w:tc>
        <w:tc>
          <w:tcPr>
            <w:tcW w:w="7153"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562D6B" w:rsidRPr="00562D6B" w:rsidRDefault="00562D6B">
            <w:pPr>
              <w:spacing w:before="100" w:beforeAutospacing="1" w:after="100" w:afterAutospacing="1" w:line="384" w:lineRule="atLeast"/>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xml:space="preserve">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w:t>
            </w:r>
            <w:r w:rsidRPr="00562D6B">
              <w:rPr>
                <w:rFonts w:ascii="Times New Roman" w:hAnsi="Times New Roman" w:cs="Times New Roman"/>
                <w:color w:val="333333"/>
                <w:sz w:val="28"/>
                <w:szCs w:val="28"/>
              </w:rPr>
              <w:lastRenderedPageBreak/>
              <w:t>производителя.</w:t>
            </w:r>
          </w:p>
          <w:p w:rsidR="00562D6B" w:rsidRPr="00562D6B" w:rsidRDefault="00562D6B">
            <w:pPr>
              <w:spacing w:before="30"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color w:val="333333"/>
                <w:sz w:val="28"/>
                <w:szCs w:val="28"/>
              </w:rPr>
              <w:t> </w:t>
            </w:r>
          </w:p>
        </w:tc>
        <w:tc>
          <w:tcPr>
            <w:tcW w:w="2011"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562D6B" w:rsidRPr="00562D6B" w:rsidRDefault="00562D6B">
            <w:pPr>
              <w:spacing w:before="100" w:beforeAutospacing="1" w:line="384" w:lineRule="atLeast"/>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lastRenderedPageBreak/>
              <w:t>МУП "ЭТС" не осуществляет</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закуп электрической</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энергии у производителей</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электрической энергии</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(мощности) на розничном</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рынке электрической</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lastRenderedPageBreak/>
              <w:t>энергии, осуществляющих</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производство электрической</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энергии (мощности) на</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квалифицированных</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генерирующих объектах,</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функционирующих на основе</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использования</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возобновляемых источников</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энергии, объемы</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подтверждены сертификатом,</w:t>
            </w:r>
          </w:p>
          <w:p w:rsidR="00562D6B" w:rsidRPr="00562D6B" w:rsidRDefault="00562D6B">
            <w:pPr>
              <w:spacing w:line="384" w:lineRule="atLeast"/>
              <w:ind w:left="30" w:right="30"/>
              <w:jc w:val="center"/>
              <w:rPr>
                <w:rFonts w:ascii="Times New Roman" w:hAnsi="Times New Roman" w:cs="Times New Roman"/>
                <w:color w:val="333333"/>
                <w:sz w:val="28"/>
                <w:szCs w:val="28"/>
              </w:rPr>
            </w:pPr>
            <w:r w:rsidRPr="00562D6B">
              <w:rPr>
                <w:rFonts w:ascii="Times New Roman" w:hAnsi="Times New Roman" w:cs="Times New Roman"/>
                <w:b/>
                <w:bCs/>
                <w:color w:val="000080"/>
                <w:sz w:val="28"/>
                <w:szCs w:val="28"/>
              </w:rPr>
              <w:t>выданным советом рынка.</w:t>
            </w:r>
          </w:p>
        </w:tc>
      </w:tr>
    </w:tbl>
    <w:p w:rsidR="00562D6B" w:rsidRPr="00562D6B" w:rsidRDefault="00562D6B" w:rsidP="00562D6B">
      <w:pPr>
        <w:spacing w:before="100" w:beforeAutospacing="1" w:after="100" w:afterAutospacing="1"/>
        <w:rPr>
          <w:rFonts w:ascii="Times New Roman" w:hAnsi="Times New Roman" w:cs="Times New Roman"/>
          <w:color w:val="333333"/>
          <w:sz w:val="28"/>
          <w:szCs w:val="28"/>
        </w:rPr>
      </w:pPr>
      <w:r w:rsidRPr="00562D6B">
        <w:rPr>
          <w:rFonts w:ascii="Times New Roman" w:hAnsi="Times New Roman" w:cs="Times New Roman"/>
          <w:color w:val="333333"/>
          <w:sz w:val="28"/>
          <w:szCs w:val="28"/>
        </w:rPr>
        <w:lastRenderedPageBreak/>
        <w:t> </w:t>
      </w:r>
    </w:p>
    <w:p w:rsidR="009E6B98" w:rsidRPr="00562D6B" w:rsidRDefault="009E6B98" w:rsidP="00562D6B">
      <w:pPr>
        <w:rPr>
          <w:rFonts w:ascii="Times New Roman" w:hAnsi="Times New Roman" w:cs="Times New Roman"/>
          <w:sz w:val="28"/>
          <w:szCs w:val="28"/>
        </w:rPr>
      </w:pPr>
    </w:p>
    <w:sectPr w:rsidR="009E6B98" w:rsidRPr="00562D6B" w:rsidSect="00203D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B4"/>
    <w:rsid w:val="00203DB4"/>
    <w:rsid w:val="002E394A"/>
    <w:rsid w:val="00562D6B"/>
    <w:rsid w:val="00570412"/>
    <w:rsid w:val="00743918"/>
    <w:rsid w:val="009B3678"/>
    <w:rsid w:val="009E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62D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62D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00302">
      <w:bodyDiv w:val="1"/>
      <w:marLeft w:val="0"/>
      <w:marRight w:val="0"/>
      <w:marTop w:val="0"/>
      <w:marBottom w:val="0"/>
      <w:divBdr>
        <w:top w:val="none" w:sz="0" w:space="0" w:color="auto"/>
        <w:left w:val="none" w:sz="0" w:space="0" w:color="auto"/>
        <w:bottom w:val="none" w:sz="0" w:space="0" w:color="auto"/>
        <w:right w:val="none" w:sz="0" w:space="0" w:color="auto"/>
      </w:divBdr>
    </w:div>
    <w:div w:id="1192766522">
      <w:bodyDiv w:val="1"/>
      <w:marLeft w:val="0"/>
      <w:marRight w:val="0"/>
      <w:marTop w:val="0"/>
      <w:marBottom w:val="0"/>
      <w:divBdr>
        <w:top w:val="none" w:sz="0" w:space="0" w:color="auto"/>
        <w:left w:val="none" w:sz="0" w:space="0" w:color="auto"/>
        <w:bottom w:val="none" w:sz="0" w:space="0" w:color="auto"/>
        <w:right w:val="none" w:sz="0" w:space="0" w:color="auto"/>
      </w:divBdr>
    </w:div>
    <w:div w:id="1345790865">
      <w:bodyDiv w:val="1"/>
      <w:marLeft w:val="0"/>
      <w:marRight w:val="0"/>
      <w:marTop w:val="0"/>
      <w:marBottom w:val="0"/>
      <w:divBdr>
        <w:top w:val="none" w:sz="0" w:space="0" w:color="auto"/>
        <w:left w:val="none" w:sz="0" w:space="0" w:color="auto"/>
        <w:bottom w:val="none" w:sz="0" w:space="0" w:color="auto"/>
        <w:right w:val="none" w:sz="0" w:space="0" w:color="auto"/>
      </w:divBdr>
    </w:div>
    <w:div w:id="1585215431">
      <w:bodyDiv w:val="1"/>
      <w:marLeft w:val="0"/>
      <w:marRight w:val="0"/>
      <w:marTop w:val="0"/>
      <w:marBottom w:val="0"/>
      <w:divBdr>
        <w:top w:val="none" w:sz="0" w:space="0" w:color="auto"/>
        <w:left w:val="none" w:sz="0" w:space="0" w:color="auto"/>
        <w:bottom w:val="none" w:sz="0" w:space="0" w:color="auto"/>
        <w:right w:val="none" w:sz="0" w:space="0" w:color="auto"/>
      </w:divBdr>
    </w:div>
    <w:div w:id="1957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tr.ru/index.php?option=com_content&amp;view=article&amp;layout=edit&amp;id=210" TargetMode="External"/><Relationship Id="rId18" Type="http://schemas.openxmlformats.org/officeDocument/2006/relationships/hyperlink" Target="http://etstr.ru/index.php?option=com_content&amp;view=article&amp;layout=edit&amp;id=215" TargetMode="External"/><Relationship Id="rId26" Type="http://schemas.openxmlformats.org/officeDocument/2006/relationships/hyperlink" Target="http://etstr.ru/index.php?option=com_content&amp;view=article&amp;layout=edit&amp;id=222" TargetMode="External"/><Relationship Id="rId39" Type="http://schemas.openxmlformats.org/officeDocument/2006/relationships/hyperlink" Target="http://etstr.ru/doc/11g_1_2016/2%20%D0%BA%D0%B2%202016.pdf" TargetMode="External"/><Relationship Id="rId21" Type="http://schemas.openxmlformats.org/officeDocument/2006/relationships/hyperlink" Target="http://etstr.ru/index.php?option=com_content&amp;view=article&amp;layout=edit&amp;id=217" TargetMode="External"/><Relationship Id="rId34" Type="http://schemas.openxmlformats.org/officeDocument/2006/relationships/hyperlink" Target="http://etstr.ru/doc/11_g_1_3/%D0%9F%D0%BE%D1%81%D1%82%D0%B0%D0%BD%D0%BE%D0%B2%D0%BB%D0%B5%D0%BD%D0%B8%D0%B5%20%D0%BF%D0%BE%20%D0%B8%D0%BD%D0%B2%D0%B5%D1%81%D1%82%20%D0%BF%D1%80%D0%BE%D0%B3%D1%80%D0%B0%D0%BC%D0%BC%D0%B5.pdf" TargetMode="External"/><Relationship Id="rId42" Type="http://schemas.openxmlformats.org/officeDocument/2006/relationships/hyperlink" Target="http://etstr.ru/DOC/Zakupki/%D0%9F%D0%BE%D0%BB%D0%BE%D0%B6%D0%B5%D0%BD%D0%B8%D0%B5%20%D0%BE%20%D0%B7%D0%B0%D0%BA%D1%83%D0%BF%D0%BA%D0%B5%20%D0%B2%D0%B5%D1%80%D1%81%D0%B8%D1%8F%20%D0%BE%D1%82%2011.07.2018.docx" TargetMode="External"/><Relationship Id="rId47" Type="http://schemas.openxmlformats.org/officeDocument/2006/relationships/hyperlink" Target="http://etstr.ru/index.php?option=com_content&amp;view=article&amp;layout=edit&amp;id=229" TargetMode="External"/><Relationship Id="rId50" Type="http://schemas.openxmlformats.org/officeDocument/2006/relationships/hyperlink" Target="http://etstr.ru/elektro.html" TargetMode="External"/><Relationship Id="rId55" Type="http://schemas.openxmlformats.org/officeDocument/2006/relationships/hyperlink" Target="http://etstr.ru/doc/11_a_1_2016/11%D0%B0%201)%20%D0%9F%D0%BE%D1%81%D1%82%D0%B0%D0%BD%D0%BE%D0%B2%D0%BB%D0%B5%D0%BD%D0%B8%D0%B5%20%D0%BF%D0%BE%20%D1%81%D1%82%D0%B0%D0%B2%D0%BA%D0%B0%D0%BC%20%D0%BD%D0%B0%20%D1%82%D0%B5%D1%85%D0%BF%D1%80%D0%B8%D1%81%D0%BE%D0%B5%D0%B4%D0%B8%D0%BD%D0%B5%D0%BD%D0%B8%D0%B5.pdf" TargetMode="External"/><Relationship Id="rId7" Type="http://schemas.openxmlformats.org/officeDocument/2006/relationships/hyperlink" Target="http://etstr.ru/index.php?option=com_content&amp;view=article&amp;layout=edit&amp;id=204" TargetMode="External"/><Relationship Id="rId2" Type="http://schemas.microsoft.com/office/2007/relationships/stylesWithEffects" Target="stylesWithEffects.xml"/><Relationship Id="rId16" Type="http://schemas.openxmlformats.org/officeDocument/2006/relationships/hyperlink" Target="http://etstr.ru/index.php?option=com_content&amp;view=article&amp;layout=edit&amp;id=213" TargetMode="External"/><Relationship Id="rId20" Type="http://schemas.openxmlformats.org/officeDocument/2006/relationships/hyperlink" Target="http://etstr.ru/index.php?option=com_content&amp;view=article&amp;layout=edit&amp;id=216" TargetMode="External"/><Relationship Id="rId29" Type="http://schemas.openxmlformats.org/officeDocument/2006/relationships/hyperlink" Target="http://etstr.ru/index.php?option=com_content&amp;view=article&amp;layout=edit&amp;id=225" TargetMode="External"/><Relationship Id="rId41" Type="http://schemas.openxmlformats.org/officeDocument/2006/relationships/hyperlink" Target="http://etstr.ru/doc/11g_1_2016/4%20%D0%BA%D0%B2%202016.pdf" TargetMode="External"/><Relationship Id="rId54" Type="http://schemas.openxmlformats.org/officeDocument/2006/relationships/hyperlink" Target="http://etstr.ru/index.php?option=com_content&amp;view=article&amp;layout=edit&amp;id=234" TargetMode="External"/><Relationship Id="rId1" Type="http://schemas.openxmlformats.org/officeDocument/2006/relationships/styles" Target="styles.xml"/><Relationship Id="rId6" Type="http://schemas.openxmlformats.org/officeDocument/2006/relationships/hyperlink" Target="http://etstr.ru/index.php?option=com_content&amp;view=article&amp;layout=edit&amp;id=203" TargetMode="External"/><Relationship Id="rId11" Type="http://schemas.openxmlformats.org/officeDocument/2006/relationships/hyperlink" Target="http://etstr.ru/index.php?option=com_content&amp;view=article&amp;layout=edit&amp;id=208" TargetMode="External"/><Relationship Id="rId24" Type="http://schemas.openxmlformats.org/officeDocument/2006/relationships/hyperlink" Target="http://etstr.ru/index.php?option=com_content&amp;view=article&amp;layout=edit&amp;id=220" TargetMode="External"/><Relationship Id="rId32" Type="http://schemas.openxmlformats.org/officeDocument/2006/relationships/hyperlink" Target="http://etstr.ru/index.php?option=com_content&amp;view=article&amp;layout=edit&amp;id=227" TargetMode="External"/><Relationship Id="rId37" Type="http://schemas.openxmlformats.org/officeDocument/2006/relationships/hyperlink" Target="http://etstr.ru/index.php?option=com_content&amp;view=article&amp;layout=edit&amp;id=216" TargetMode="External"/><Relationship Id="rId40" Type="http://schemas.openxmlformats.org/officeDocument/2006/relationships/hyperlink" Target="http://etstr.ru/doc/11g_1_2016/3%20%D0%BA%D0%B2%202016.pdf" TargetMode="External"/><Relationship Id="rId45" Type="http://schemas.openxmlformats.org/officeDocument/2006/relationships/hyperlink" Target="http://etstr.ru/doc/buh/Balanc%202015.zip" TargetMode="External"/><Relationship Id="rId53" Type="http://schemas.openxmlformats.org/officeDocument/2006/relationships/hyperlink" Target="http://etstr.ru/elektro.html" TargetMode="External"/><Relationship Id="rId58" Type="http://schemas.openxmlformats.org/officeDocument/2006/relationships/hyperlink" Target="http://etstr.ru/index.php?option=com_content&amp;view=article&amp;layout=edit&amp;id=236" TargetMode="External"/><Relationship Id="rId5" Type="http://schemas.openxmlformats.org/officeDocument/2006/relationships/hyperlink" Target="http://etstr.ru/index.php?option=com_content&amp;view=article&amp;layout=edit&amp;id=202" TargetMode="External"/><Relationship Id="rId15" Type="http://schemas.openxmlformats.org/officeDocument/2006/relationships/hyperlink" Target="http://etstr.ru/index.php?option=com_content&amp;view=article&amp;layout=edit&amp;id=212" TargetMode="External"/><Relationship Id="rId23" Type="http://schemas.openxmlformats.org/officeDocument/2006/relationships/hyperlink" Target="http://etstr.ru/index.php?option=com_content&amp;view=article&amp;layout=edit&amp;id=219" TargetMode="External"/><Relationship Id="rId28" Type="http://schemas.openxmlformats.org/officeDocument/2006/relationships/hyperlink" Target="http://etstr.ru/index.php?option=com_content&amp;view=article&amp;layout=edit&amp;id=224" TargetMode="External"/><Relationship Id="rId36" Type="http://schemas.openxmlformats.org/officeDocument/2006/relationships/hyperlink" Target="http://etstr.ru/doc/11_g_1_3/%D0%9F%D0%BE%D1%81%D1%82%D0%B0%D0%BD%D0%BE%D0%B2%D0%BB%D0%B5%D0%BD%D0%B8%D0%B5%20%D0%BF%D0%BE%20%D0%B8%D0%BD%D0%B2%D0%B5%D1%81%D1%82%20%D0%BF%D1%80%D0%BE%D0%B3%D1%80%D0%B0%D0%BC%D0%BC%D0%B5.pdf" TargetMode="External"/><Relationship Id="rId49" Type="http://schemas.openxmlformats.org/officeDocument/2006/relationships/hyperlink" Target="http://etstr.ru/index.php?option=com_content&amp;view=article&amp;layout=edit&amp;id=231" TargetMode="External"/><Relationship Id="rId57" Type="http://schemas.openxmlformats.org/officeDocument/2006/relationships/hyperlink" Target="http://etstr.ru/index.php?option=com_content&amp;view=article&amp;layout=edit&amp;id=235" TargetMode="External"/><Relationship Id="rId61" Type="http://schemas.openxmlformats.org/officeDocument/2006/relationships/theme" Target="theme/theme1.xml"/><Relationship Id="rId10" Type="http://schemas.openxmlformats.org/officeDocument/2006/relationships/hyperlink" Target="http://etstr.ru/index.php?option=com_content&amp;view=article&amp;layout=edit&amp;id=207" TargetMode="External"/><Relationship Id="rId19" Type="http://schemas.openxmlformats.org/officeDocument/2006/relationships/hyperlink" Target="http://etstr.ru/doc/11_b_14_2017/11%20%D0%B1.%2014.xlsx" TargetMode="External"/><Relationship Id="rId31" Type="http://schemas.openxmlformats.org/officeDocument/2006/relationships/hyperlink" Target="http://etstr.ru/doc/11_g_1_3/%D0%9F%D0%BE%D1%81%D1%82%D0%B0%D0%BD%D0%BE%D0%B2%D0%BB%D0%B5%D0%BD%D0%B8%D0%B5%20%D0%BF%D0%BE%20%D0%B8%D0%BD%D0%B2%D0%B5%D1%81%D1%82%20%D0%BF%D1%80%D0%BE%D0%B3%D1%80%D0%B0%D0%BC%D0%BC%D0%B5.pdf" TargetMode="External"/><Relationship Id="rId44" Type="http://schemas.openxmlformats.org/officeDocument/2006/relationships/hyperlink" Target="http://etstr.ru/doc/11_l_2016/11%20%D0%BB)%20%20%D0%BE%20%D0%BA%D0%B0%D1%87%D0%B5%D1%81%D1%82%D0%B2%D0%B5%20%D0%BE%D0%B1%D1%81%D0%BB%D1%83%D0%B6%D0%B8%D0%B2%D0%B0%D0%BD%D0%B8%D1%8F.xlsx" TargetMode="External"/><Relationship Id="rId52" Type="http://schemas.openxmlformats.org/officeDocument/2006/relationships/hyperlink" Target="http://etstr.ru/index.php?option=com_content&amp;view=article&amp;layout=edit&amp;id=23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str.ru/index.php?option=com_content&amp;view=article&amp;layout=edit&amp;id=206" TargetMode="External"/><Relationship Id="rId14" Type="http://schemas.openxmlformats.org/officeDocument/2006/relationships/hyperlink" Target="http://etstr.ru/index.php?option=com_content&amp;view=article&amp;layout=edit&amp;id=211" TargetMode="External"/><Relationship Id="rId22" Type="http://schemas.openxmlformats.org/officeDocument/2006/relationships/hyperlink" Target="http://etstr.ru/index.php?option=com_content&amp;view=article&amp;layout=edit&amp;id=218" TargetMode="External"/><Relationship Id="rId27" Type="http://schemas.openxmlformats.org/officeDocument/2006/relationships/hyperlink" Target="http://etstr.ru/index.php?option=com_content&amp;view=article&amp;layout=edit&amp;id=223" TargetMode="External"/><Relationship Id="rId30" Type="http://schemas.openxmlformats.org/officeDocument/2006/relationships/hyperlink" Target="http://etstr.ru/index.php?option=com_content&amp;view=article&amp;layout=edit&amp;id=226" TargetMode="External"/><Relationship Id="rId35" Type="http://schemas.openxmlformats.org/officeDocument/2006/relationships/hyperlink" Target="http://etstr.ru/doc/11_g_1_3/%D0%9F%D0%BE%D1%81%D1%82%D0%B0%D0%BD%D0%BE%D0%B2%D0%BB%D0%B5%D0%BD%D0%B8%D0%B5%20%D0%BF%D0%BE%20%D0%B8%D0%BD%D0%B2%D0%B5%D1%81%D1%82%20%D0%BF%D1%80%D0%BE%D0%B3%D1%80%D0%B0%D0%BC%D0%BC%D0%B5.pdf" TargetMode="External"/><Relationship Id="rId43" Type="http://schemas.openxmlformats.org/officeDocument/2006/relationships/hyperlink" Target="http://etstr.ru/index.php?option=com_content&amp;view=article&amp;layout=edit&amp;id=228" TargetMode="External"/><Relationship Id="rId48" Type="http://schemas.openxmlformats.org/officeDocument/2006/relationships/hyperlink" Target="http://etstr.ru/index.php?option=com_content&amp;view=article&amp;layout=edit&amp;id=230" TargetMode="External"/><Relationship Id="rId56" Type="http://schemas.openxmlformats.org/officeDocument/2006/relationships/hyperlink" Target="http://etstr.ru/elektro.html" TargetMode="External"/><Relationship Id="rId8" Type="http://schemas.openxmlformats.org/officeDocument/2006/relationships/hyperlink" Target="http://etstr.ru/index.php?option=com_content&amp;view=article&amp;layout=edit&amp;id=205" TargetMode="External"/><Relationship Id="rId51" Type="http://schemas.openxmlformats.org/officeDocument/2006/relationships/hyperlink" Target="http://etstr.ru/index.php?option=com_content&amp;view=article&amp;layout=edit&amp;id=233" TargetMode="External"/><Relationship Id="rId3" Type="http://schemas.openxmlformats.org/officeDocument/2006/relationships/settings" Target="settings.xml"/><Relationship Id="rId12" Type="http://schemas.openxmlformats.org/officeDocument/2006/relationships/hyperlink" Target="http://etstr.ru/index.php?option=com_content&amp;view=article&amp;layout=edit&amp;id=209" TargetMode="External"/><Relationship Id="rId17" Type="http://schemas.openxmlformats.org/officeDocument/2006/relationships/hyperlink" Target="http://etstr.ru/index.php?option=com_content&amp;view=article&amp;layout=edit&amp;id=214" TargetMode="External"/><Relationship Id="rId25" Type="http://schemas.openxmlformats.org/officeDocument/2006/relationships/hyperlink" Target="http://etstr.ru/index.php?option=com_content&amp;view=article&amp;layout=edit&amp;id=221" TargetMode="External"/><Relationship Id="rId33" Type="http://schemas.openxmlformats.org/officeDocument/2006/relationships/hyperlink" Target="http://etstr.ru/doc/11_g_1_3/%D0%9F%D0%BE%D1%81%D1%82%D0%B0%D0%BD%D0%BE%D0%B2%D0%BB%D0%B5%D0%BD%D0%B8%D0%B5%20%D0%BF%D0%BE%20%D0%B8%D0%BD%D0%B2%D0%B5%D1%81%D1%82%20%D0%BF%D1%80%D0%BE%D0%B3%D1%80%D0%B0%D0%BC%D0%BC%D0%B5.pdf" TargetMode="External"/><Relationship Id="rId38" Type="http://schemas.openxmlformats.org/officeDocument/2006/relationships/hyperlink" Target="http://etstr.ru/doc/11g_1_2016/1%20%D0%BA%D0%B2%202016.pdf" TargetMode="External"/><Relationship Id="rId46" Type="http://schemas.openxmlformats.org/officeDocument/2006/relationships/hyperlink" Target="http://etstr.ru/9%D0%B3%20%D0%9F%D0%A0%D0%95%D0%94%D0%9B%D0%9E%D0%96%D0%95%D0%9D%D0%98%D0%95%20%D0%BD%D0%B0%20%D1%82%D0%B0%D1%80%D0%B8%D1%84%20%D0%9C%D0%A3%D0%9F%20%D0%AD%D0%A2%D0%A1.xls" TargetMode="External"/><Relationship Id="rId59" Type="http://schemas.openxmlformats.org/officeDocument/2006/relationships/hyperlink" Target="http://etstr.ru/index.php?option=com_content&amp;view=article&amp;layout=edit&amp;id=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2018-12-25T04:56:00Z</dcterms:created>
  <dcterms:modified xsi:type="dcterms:W3CDTF">2019-02-27T06:20:00Z</dcterms:modified>
</cp:coreProperties>
</file>